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25" w:rsidRDefault="00221D60" w:rsidP="009B5B30">
      <w:pPr>
        <w:jc w:val="center"/>
        <w:rPr>
          <w:b/>
          <w:bCs/>
          <w:sz w:val="28"/>
          <w:szCs w:val="28"/>
        </w:rPr>
      </w:pPr>
      <w:r w:rsidRPr="00EA597E">
        <w:rPr>
          <w:b/>
          <w:bCs/>
          <w:sz w:val="28"/>
          <w:szCs w:val="28"/>
        </w:rPr>
        <w:t xml:space="preserve">Ministru kabineta noteikumu projekta </w:t>
      </w:r>
    </w:p>
    <w:p w:rsidR="00E571FE" w:rsidRDefault="00221D60" w:rsidP="00963525">
      <w:pPr>
        <w:jc w:val="center"/>
        <w:rPr>
          <w:b/>
          <w:bCs/>
          <w:sz w:val="28"/>
        </w:rPr>
      </w:pPr>
      <w:r w:rsidRPr="00EA597E">
        <w:rPr>
          <w:b/>
          <w:bCs/>
          <w:sz w:val="28"/>
          <w:szCs w:val="28"/>
        </w:rPr>
        <w:t xml:space="preserve"> </w:t>
      </w:r>
      <w:r w:rsidR="00E571FE" w:rsidRPr="00EA597E">
        <w:rPr>
          <w:b/>
          <w:bCs/>
          <w:sz w:val="28"/>
          <w:szCs w:val="28"/>
        </w:rPr>
        <w:t>„</w:t>
      </w:r>
      <w:bookmarkStart w:id="0" w:name="OLE_LINK7"/>
      <w:bookmarkStart w:id="1" w:name="OLE_LINK8"/>
      <w:r w:rsidRPr="00EA597E">
        <w:rPr>
          <w:b/>
          <w:bCs/>
          <w:sz w:val="28"/>
          <w:szCs w:val="28"/>
        </w:rPr>
        <w:t>Noteikumi par maksimāli  pieļaujamo trans-taukskābju daudzumu pārtikas produktos</w:t>
      </w:r>
      <w:r w:rsidR="00E571FE" w:rsidRPr="00EA597E">
        <w:rPr>
          <w:b/>
          <w:bCs/>
          <w:sz w:val="28"/>
          <w:szCs w:val="28"/>
        </w:rPr>
        <w:t>”</w:t>
      </w:r>
      <w:r w:rsidR="00963525">
        <w:rPr>
          <w:b/>
          <w:bCs/>
          <w:sz w:val="28"/>
          <w:szCs w:val="28"/>
        </w:rPr>
        <w:t xml:space="preserve"> </w:t>
      </w:r>
      <w:r w:rsidR="00E571FE" w:rsidRPr="00EA597E">
        <w:rPr>
          <w:b/>
          <w:sz w:val="28"/>
        </w:rPr>
        <w:t xml:space="preserve">sākotnējās ietekmes novērtējuma </w:t>
      </w:r>
      <w:smartTag w:uri="schemas-tilde-lv/tildestengine" w:element="veidnes">
        <w:smartTagPr>
          <w:attr w:name="text" w:val="ziņojums"/>
          <w:attr w:name="baseform" w:val="ziņojums"/>
          <w:attr w:name="id" w:val="-1"/>
        </w:smartTagPr>
        <w:r w:rsidR="00E571FE" w:rsidRPr="00EA597E">
          <w:rPr>
            <w:b/>
            <w:sz w:val="28"/>
          </w:rPr>
          <w:t>ziņojums</w:t>
        </w:r>
      </w:smartTag>
      <w:r w:rsidR="00E571FE" w:rsidRPr="00EA597E">
        <w:rPr>
          <w:b/>
          <w:bCs/>
          <w:sz w:val="28"/>
        </w:rPr>
        <w:t xml:space="preserve"> (anotācija)</w:t>
      </w:r>
    </w:p>
    <w:p w:rsidR="007907D7" w:rsidRPr="00963525" w:rsidRDefault="007907D7" w:rsidP="00963525">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269"/>
        <w:gridCol w:w="6408"/>
      </w:tblGrid>
      <w:tr w:rsidR="00E571FE" w:rsidRPr="00EA597E" w:rsidTr="00890432">
        <w:tc>
          <w:tcPr>
            <w:tcW w:w="0" w:type="auto"/>
            <w:gridSpan w:val="3"/>
            <w:vAlign w:val="center"/>
          </w:tcPr>
          <w:bookmarkEnd w:id="0"/>
          <w:bookmarkEnd w:id="1"/>
          <w:p w:rsidR="00E571FE" w:rsidRPr="00EA597E" w:rsidRDefault="00E571FE" w:rsidP="00BF6E4D">
            <w:pPr>
              <w:jc w:val="center"/>
              <w:rPr>
                <w:b/>
                <w:bCs/>
                <w:lang w:eastAsia="lv-LV"/>
              </w:rPr>
            </w:pPr>
            <w:r w:rsidRPr="00EA597E">
              <w:rPr>
                <w:b/>
                <w:bCs/>
                <w:sz w:val="28"/>
                <w:lang w:eastAsia="lv-LV"/>
              </w:rPr>
              <w:t>I. Tiesību akta projekta izstrādes nepieciešamība</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1.</w:t>
            </w:r>
          </w:p>
        </w:tc>
        <w:tc>
          <w:tcPr>
            <w:tcW w:w="1242" w:type="pct"/>
          </w:tcPr>
          <w:p w:rsidR="00E571FE" w:rsidRPr="00EA597E" w:rsidRDefault="00E571FE" w:rsidP="00BF6E4D">
            <w:pPr>
              <w:jc w:val="both"/>
              <w:rPr>
                <w:lang w:eastAsia="lv-LV"/>
              </w:rPr>
            </w:pPr>
            <w:r w:rsidRPr="00EA597E">
              <w:rPr>
                <w:lang w:eastAsia="lv-LV"/>
              </w:rPr>
              <w:t>Pamatojums</w:t>
            </w:r>
          </w:p>
        </w:tc>
        <w:tc>
          <w:tcPr>
            <w:tcW w:w="3509" w:type="pct"/>
          </w:tcPr>
          <w:p w:rsidR="008A1662" w:rsidRPr="00E276E3" w:rsidRDefault="008A1662" w:rsidP="00BF6E4D">
            <w:pPr>
              <w:pStyle w:val="ListParagraph"/>
              <w:numPr>
                <w:ilvl w:val="0"/>
                <w:numId w:val="13"/>
              </w:numPr>
              <w:jc w:val="both"/>
              <w:rPr>
                <w:iCs/>
              </w:rPr>
            </w:pPr>
            <w:r w:rsidRPr="00E276E3">
              <w:rPr>
                <w:iCs/>
              </w:rPr>
              <w:t>Sirds un asinsvadu veselības uzlabošanas rīcības plān</w:t>
            </w:r>
            <w:r w:rsidR="00AC70D9" w:rsidRPr="00E276E3">
              <w:rPr>
                <w:iCs/>
              </w:rPr>
              <w:t>a</w:t>
            </w:r>
            <w:r w:rsidRPr="00E276E3">
              <w:rPr>
                <w:iCs/>
              </w:rPr>
              <w:t xml:space="preserve"> 2013.-2015.gadam  </w:t>
            </w:r>
            <w:r w:rsidRPr="00E276E3">
              <w:t xml:space="preserve"> (apstiprināts ar 05.08</w:t>
            </w:r>
            <w:r w:rsidR="00AC70D9" w:rsidRPr="00E276E3">
              <w:t>.2013 Ministru kabineta rīkojumu</w:t>
            </w:r>
            <w:r w:rsidRPr="00E276E3">
              <w:t xml:space="preserve"> </w:t>
            </w:r>
            <w:r w:rsidRPr="00E276E3">
              <w:rPr>
                <w:bCs/>
                <w:lang w:eastAsia="lv-LV"/>
              </w:rPr>
              <w:t>Nr.359</w:t>
            </w:r>
            <w:r w:rsidRPr="00E276E3">
              <w:rPr>
                <w:bCs/>
              </w:rPr>
              <w:t xml:space="preserve">) </w:t>
            </w:r>
            <w:r w:rsidRPr="00E276E3">
              <w:rPr>
                <w:iCs/>
              </w:rPr>
              <w:t>1.</w:t>
            </w:r>
            <w:r w:rsidRPr="00E276E3">
              <w:t xml:space="preserve">rīcības virziena 1.1.uzdevuma </w:t>
            </w:r>
            <w:r w:rsidR="00221D60" w:rsidRPr="00E276E3">
              <w:rPr>
                <w:iCs/>
              </w:rPr>
              <w:t>1.1.4</w:t>
            </w:r>
            <w:r w:rsidRPr="00E276E3">
              <w:rPr>
                <w:iCs/>
              </w:rPr>
              <w:t>.pasākums;</w:t>
            </w:r>
          </w:p>
          <w:p w:rsidR="00E276E3" w:rsidRPr="00681FE9" w:rsidRDefault="00E276E3" w:rsidP="00BF6E4D">
            <w:pPr>
              <w:pStyle w:val="ListParagraph"/>
              <w:numPr>
                <w:ilvl w:val="0"/>
                <w:numId w:val="13"/>
              </w:numPr>
              <w:jc w:val="both"/>
              <w:rPr>
                <w:iCs/>
              </w:rPr>
            </w:pPr>
            <w:r w:rsidRPr="00681FE9">
              <w:rPr>
                <w:iCs/>
              </w:rPr>
              <w:t xml:space="preserve">Valdības rīcības plāna Deklarācijas par Laimdotas </w:t>
            </w:r>
            <w:proofErr w:type="spellStart"/>
            <w:r w:rsidRPr="00681FE9">
              <w:rPr>
                <w:iCs/>
              </w:rPr>
              <w:t>Straujumas</w:t>
            </w:r>
            <w:proofErr w:type="spellEnd"/>
            <w:r w:rsidRPr="00681FE9">
              <w:rPr>
                <w:iCs/>
              </w:rPr>
              <w:t xml:space="preserve"> vadītā Ministru kabineta iecerēto darbību noteikto uz</w:t>
            </w:r>
            <w:r w:rsidR="000D0E50">
              <w:rPr>
                <w:iCs/>
              </w:rPr>
              <w:t>devumu izpildei 99.4.pasākums (a</w:t>
            </w:r>
            <w:r w:rsidRPr="00681FE9">
              <w:rPr>
                <w:iCs/>
              </w:rPr>
              <w:t>pstiprināt</w:t>
            </w:r>
            <w:r w:rsidR="000D0E50">
              <w:rPr>
                <w:iCs/>
              </w:rPr>
              <w:t>a</w:t>
            </w:r>
            <w:r w:rsidRPr="00681FE9">
              <w:rPr>
                <w:iCs/>
              </w:rPr>
              <w:t xml:space="preserve"> Ministru kabinetā </w:t>
            </w:r>
            <w:r w:rsidRPr="00681FE9">
              <w:t>2015.gada 16.februārī, prot. Nr.7 34.§)</w:t>
            </w:r>
          </w:p>
          <w:p w:rsidR="00194D09" w:rsidRPr="001A17A1" w:rsidRDefault="00221D60" w:rsidP="001A17A1">
            <w:pPr>
              <w:pStyle w:val="ListParagraph"/>
              <w:numPr>
                <w:ilvl w:val="0"/>
                <w:numId w:val="13"/>
              </w:numPr>
              <w:jc w:val="both"/>
              <w:rPr>
                <w:iCs/>
              </w:rPr>
            </w:pPr>
            <w:r w:rsidRPr="00E276E3">
              <w:t xml:space="preserve">Pārtikas aprites uzraudzības likuma 4.panta </w:t>
            </w:r>
            <w:r w:rsidR="0031597F" w:rsidRPr="00E276E3">
              <w:t xml:space="preserve">septiņpadsmitā </w:t>
            </w:r>
            <w:r w:rsidRPr="00E276E3">
              <w:t>daļa</w:t>
            </w:r>
            <w:r w:rsidR="00BF6E4D" w:rsidRPr="00E276E3">
              <w:rPr>
                <w:noProof/>
              </w:rPr>
              <w:t>.</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2.</w:t>
            </w:r>
          </w:p>
        </w:tc>
        <w:tc>
          <w:tcPr>
            <w:tcW w:w="1242" w:type="pct"/>
          </w:tcPr>
          <w:p w:rsidR="00E571FE" w:rsidRPr="00EA597E" w:rsidRDefault="00E571FE" w:rsidP="00BF6E4D">
            <w:pPr>
              <w:jc w:val="both"/>
              <w:rPr>
                <w:lang w:eastAsia="lv-LV"/>
              </w:rPr>
            </w:pPr>
            <w:r w:rsidRPr="00EA597E">
              <w:rPr>
                <w:lang w:eastAsia="lv-LV"/>
              </w:rPr>
              <w:t xml:space="preserve">Pašreizējā situācija </w:t>
            </w:r>
            <w:r w:rsidRPr="00EA597E">
              <w:t>un problēmas, kuru risināšanai tiesību akta projekts izstrādāts, tiesiskā regulējuma mērķis un būtība</w:t>
            </w:r>
          </w:p>
        </w:tc>
        <w:tc>
          <w:tcPr>
            <w:tcW w:w="3509" w:type="pct"/>
          </w:tcPr>
          <w:p w:rsidR="00EC04CE" w:rsidRPr="00A457C0" w:rsidRDefault="00EC04CE" w:rsidP="00EC04CE">
            <w:pPr>
              <w:pStyle w:val="Default"/>
              <w:jc w:val="both"/>
            </w:pPr>
            <w:r>
              <w:t>Šobrīd Latvijā nevienā normatīvajā</w:t>
            </w:r>
            <w:r w:rsidRPr="009E6A06">
              <w:t xml:space="preserve"> aktā nav noteikts maksimāli pieļaujamais trans-taukskā</w:t>
            </w:r>
            <w:r>
              <w:t>bju daudzums pārtikas produktos</w:t>
            </w:r>
            <w:r w:rsidRPr="009E6A06">
              <w:t>. Latvijā ir veikti atsevišķi pasākumi norm</w:t>
            </w:r>
            <w:r>
              <w:t xml:space="preserve">atīvā regulējuma pilnveidošanā, lai </w:t>
            </w:r>
            <w:r w:rsidRPr="009E6A06">
              <w:t>ierobežotu pārtikas produktu pieejamību, kuri satur trans-taukskābes</w:t>
            </w:r>
            <w:r>
              <w:t xml:space="preserve">, skolās, bērnudārzos, ārstniecības iestādēs un </w:t>
            </w:r>
            <w:r w:rsidRPr="009E6A06">
              <w:t>sociālās aprūpes un sociālās rehabilitācijas</w:t>
            </w:r>
            <w:r w:rsidRPr="009E6A06">
              <w:rPr>
                <w:bCs/>
              </w:rPr>
              <w:t xml:space="preserve"> </w:t>
            </w:r>
            <w:r>
              <w:rPr>
                <w:bCs/>
              </w:rPr>
              <w:t xml:space="preserve">institūcijās. </w:t>
            </w:r>
            <w:r w:rsidRPr="009E6A06">
              <w:rPr>
                <w:bCs/>
              </w:rPr>
              <w:t>Lai</w:t>
            </w:r>
            <w:r w:rsidRPr="009E6A06">
              <w:t xml:space="preserve"> nodrošinātu, ka izglītības iestāžu izglītojamie, sociālās aprūpes un sociālās rehabilitācijas institūciju klienti un ārstniecības iestāžu pacienti saņemtu sabalansētu uzturu</w:t>
            </w:r>
            <w:r w:rsidR="007E5054">
              <w:t>,</w:t>
            </w:r>
            <w:r w:rsidRPr="009E6A06">
              <w:t xml:space="preserve"> </w:t>
            </w:r>
            <w:r w:rsidRPr="009E6A06">
              <w:rPr>
                <w:bCs/>
              </w:rPr>
              <w:t xml:space="preserve">2012. gada 13. martā tika pieņemti </w:t>
            </w:r>
            <w:r>
              <w:rPr>
                <w:bCs/>
              </w:rPr>
              <w:t xml:space="preserve">Ministru kabineta noteikumi Nr.172 </w:t>
            </w:r>
            <w:r w:rsidRPr="009E6A06">
              <w:rPr>
                <w:bCs/>
              </w:rPr>
              <w:t>„</w:t>
            </w:r>
            <w:r w:rsidRPr="009E6A06">
              <w:t>Noteikumi par uztura normām izglītības iestāžu izglītojamiem, sociālās aprūpes un sociālās rehabilitācijas institūciju klientiem un ā</w:t>
            </w:r>
            <w:r>
              <w:t xml:space="preserve">rstniecības iestāžu pacientiem”, kuros </w:t>
            </w:r>
            <w:r w:rsidRPr="009E6A06">
              <w:t xml:space="preserve">ir noteiktas arī prasības attiecībā uz trans-taukskābju un </w:t>
            </w:r>
            <w:proofErr w:type="spellStart"/>
            <w:r w:rsidRPr="009E6A06">
              <w:t>hidrogenēto</w:t>
            </w:r>
            <w:proofErr w:type="spellEnd"/>
            <w:r w:rsidRPr="009E6A06">
              <w:t xml:space="preserve"> tauku lietošanas ierobežošanu</w:t>
            </w:r>
            <w:r>
              <w:t>,</w:t>
            </w:r>
            <w:r w:rsidRPr="009E6A06">
              <w:t xml:space="preserve"> nosakot, ka izglītības iestāžu izglītojamo, sociālās aprūpes un sociālās rehabilitācijas institūciju klientu un ārstniecības iestāžu pacientu uzturā neiekļauj konditorejas izstrādājumus, kuru sastāvā ir daļēji </w:t>
            </w:r>
            <w:proofErr w:type="spellStart"/>
            <w:r w:rsidRPr="009E6A06">
              <w:t>hidrogenēti</w:t>
            </w:r>
            <w:proofErr w:type="spellEnd"/>
            <w:r w:rsidRPr="009E6A06">
              <w:t xml:space="preserve"> augu tauki. Tāpat</w:t>
            </w:r>
            <w:r>
              <w:t xml:space="preserve"> iepriekš minētajos</w:t>
            </w:r>
            <w:r w:rsidRPr="009E6A06">
              <w:t xml:space="preserve"> noteikumos ir noteikts, ka ēdiena gatavošanā nelieto margarīnu un eļļas, kas satur daļēji </w:t>
            </w:r>
            <w:proofErr w:type="spellStart"/>
            <w:r w:rsidRPr="009E6A06">
              <w:t>hidrogenētus</w:t>
            </w:r>
            <w:proofErr w:type="spellEnd"/>
            <w:r w:rsidRPr="009E6A06">
              <w:t xml:space="preserve"> augu taukus, kas ir rūpnieciski ražotas trans-taukskābes.</w:t>
            </w:r>
            <w:r>
              <w:t xml:space="preserve">  </w:t>
            </w:r>
          </w:p>
          <w:p w:rsidR="00EC04CE" w:rsidRPr="009E6A06" w:rsidRDefault="00476218" w:rsidP="00EC04CE">
            <w:pPr>
              <w:tabs>
                <w:tab w:val="left" w:pos="451"/>
              </w:tabs>
              <w:ind w:right="57"/>
              <w:jc w:val="both"/>
            </w:pPr>
            <w:r>
              <w:t xml:space="preserve">Zemkopības ministrija izstrādāja </w:t>
            </w:r>
            <w:r w:rsidR="00EC04CE" w:rsidRPr="009E6A06">
              <w:t>likumprojektu "Grozījumi Pārtikas aprites uzraudzības likumā" (turpmāk –</w:t>
            </w:r>
            <w:r>
              <w:t xml:space="preserve"> </w:t>
            </w:r>
            <w:r w:rsidR="00EC04CE" w:rsidRPr="009E6A06">
              <w:t xml:space="preserve">likumprojekts), kas tika izskatīts un atbalstīts 2014.gada  2.septembra  Ministru kabineta sēdē prot.Nr.46 (19.§ TA-1611). </w:t>
            </w:r>
            <w:r w:rsidR="00EC04CE" w:rsidRPr="00EA597E">
              <w:t xml:space="preserve">2014.gada 30.septembrī likumprojektu </w:t>
            </w:r>
            <w:r w:rsidR="00EC04CE" w:rsidRPr="00EA597E">
              <w:rPr>
                <w:noProof/>
              </w:rPr>
              <w:t>Nr.1242/Lp11</w:t>
            </w:r>
            <w:r w:rsidR="00EC04CE" w:rsidRPr="00EA597E">
              <w:t xml:space="preserve"> izskatīja Saeimas Tautsaimniecības, agrārās, vides un reģionālās politikas komisijas sēdē, kas likumprojektu atzina par steidzamu un pieņemamu divos lasījumos.  L</w:t>
            </w:r>
            <w:r w:rsidR="00EC04CE">
              <w:t xml:space="preserve">ikumprojekts 23.10.2014 tika pieņemts Saeimā otrajā lasījumā. </w:t>
            </w:r>
            <w:r w:rsidR="00EC04CE" w:rsidRPr="00EA597E">
              <w:t xml:space="preserve">Likumprojekts paredz deleģējumu Ministru kabinetam noteikt prasības maksimāli pieļaujamam trans-taukskābju daudzumam pārtikas produktos. Saskaņā ar likumprojektā noteiktajiem pārejas noteikumiem  </w:t>
            </w:r>
            <w:r w:rsidR="00EC04CE" w:rsidRPr="00EA597E">
              <w:rPr>
                <w:szCs w:val="28"/>
              </w:rPr>
              <w:t xml:space="preserve">Veselības ministrijai līdz 2015.gada </w:t>
            </w:r>
            <w:r w:rsidR="00EC04CE">
              <w:rPr>
                <w:szCs w:val="28"/>
              </w:rPr>
              <w:t xml:space="preserve">30.novembrim </w:t>
            </w:r>
            <w:r w:rsidR="00EC04CE" w:rsidRPr="00EA597E">
              <w:rPr>
                <w:szCs w:val="28"/>
              </w:rPr>
              <w:t xml:space="preserve">jāizstrādā un </w:t>
            </w:r>
            <w:r w:rsidR="00EC04CE" w:rsidRPr="00EA597E">
              <w:rPr>
                <w:szCs w:val="28"/>
              </w:rPr>
              <w:lastRenderedPageBreak/>
              <w:t xml:space="preserve">Ministru kabinetā jāiesniedz Ministru kabineta noteikumu projekts par </w:t>
            </w:r>
            <w:r w:rsidR="00EC04CE" w:rsidRPr="00EA597E">
              <w:rPr>
                <w:bCs/>
              </w:rPr>
              <w:t>maksimālo pieļaujamo trans-taukskābju daudzumu pārtikas produktos.</w:t>
            </w:r>
          </w:p>
          <w:p w:rsidR="00EC04CE" w:rsidRDefault="00EC04CE" w:rsidP="00EC04CE">
            <w:pPr>
              <w:jc w:val="both"/>
            </w:pPr>
            <w:r w:rsidRPr="00EA597E">
              <w:rPr>
                <w:iCs/>
              </w:rPr>
              <w:t>P</w:t>
            </w:r>
            <w:r w:rsidRPr="00EA597E">
              <w:t>ašreiz Eiropas Savienības (turpmāk - ES) līmenī dalībvalstīm nav noteikts maksimāli pieļaujamais trans-taukskābju daudzums pārtikas produktos</w:t>
            </w:r>
            <w:r>
              <w:t>, tāpēc j</w:t>
            </w:r>
            <w:r w:rsidRPr="00EA597E">
              <w:t>autājumā par trans-taukskābju pieļaujamā daudzuma noteikšanu pārtikas produktos ir atbildīgas pašas dalībvalstis</w:t>
            </w:r>
            <w:r w:rsidRPr="00EA597E">
              <w:rPr>
                <w:rStyle w:val="FootnoteReference"/>
              </w:rPr>
              <w:footnoteReference w:id="1"/>
            </w:r>
            <w:r w:rsidRPr="00EA597E">
              <w:t>.</w:t>
            </w:r>
          </w:p>
          <w:p w:rsidR="00EC04CE" w:rsidRPr="0031597F" w:rsidRDefault="00EC04CE" w:rsidP="00EC04CE">
            <w:pPr>
              <w:jc w:val="both"/>
            </w:pPr>
            <w:r w:rsidRPr="00EA597E">
              <w:rPr>
                <w:bCs/>
                <w:szCs w:val="28"/>
              </w:rPr>
              <w:t>Saskaņā ar Eiropas Parlamenta un Padomes 2011.gada 25.oktobra Regul</w:t>
            </w:r>
            <w:r>
              <w:rPr>
                <w:bCs/>
                <w:szCs w:val="28"/>
              </w:rPr>
              <w:t>as</w:t>
            </w:r>
            <w:r w:rsidRPr="00EA597E">
              <w:rPr>
                <w:bCs/>
                <w:szCs w:val="28"/>
              </w:rPr>
              <w:t xml:space="preserve"> Nr.1169/2011</w:t>
            </w:r>
            <w:r w:rsidRPr="00EA597E">
              <w:rPr>
                <w:rStyle w:val="FootnoteReference"/>
                <w:bCs/>
                <w:szCs w:val="28"/>
              </w:rPr>
              <w:footnoteReference w:id="2"/>
            </w:r>
            <w:r w:rsidRPr="00EA597E">
              <w:rPr>
                <w:bCs/>
                <w:szCs w:val="28"/>
              </w:rPr>
              <w:t xml:space="preserve"> par pārtikas produktu informācijas sniegšanu patērētājiem 30.panta 7.punktā noteikto, Eiropas Komisija</w:t>
            </w:r>
            <w:r w:rsidR="00476218">
              <w:rPr>
                <w:bCs/>
                <w:szCs w:val="28"/>
              </w:rPr>
              <w:t>i</w:t>
            </w:r>
            <w:r w:rsidRPr="00EA597E">
              <w:rPr>
                <w:bCs/>
                <w:szCs w:val="28"/>
              </w:rPr>
              <w:t xml:space="preserve"> (turpmāk - EK) līdz 2014.gada 13.decembrim </w:t>
            </w:r>
            <w:r w:rsidR="00476218">
              <w:rPr>
                <w:bCs/>
                <w:szCs w:val="28"/>
              </w:rPr>
              <w:t>bija jāsagatavo ziņojums</w:t>
            </w:r>
            <w:r w:rsidRPr="00EA597E">
              <w:rPr>
                <w:bCs/>
                <w:szCs w:val="28"/>
              </w:rPr>
              <w:t xml:space="preserve"> par trans-taukskābēm pārtikas produktos un kopējā ES iedzīvotāju uzturā, ņemot vērā dalībvalstīs iegūtos zinātniskos pierādījumus un pieredzi. Ziņojuma mērķis ir novērtēt ietekmi, ko dotu atbilstīgi līdzekļi, kuri ļautu patērētājiem izvēlēties ikdienas uzturā ieteicamus pārtikas produktus un sabalansētu uzturu kopumā vai kuri varētu veicināt veselī</w:t>
            </w:r>
            <w:r>
              <w:rPr>
                <w:bCs/>
                <w:szCs w:val="28"/>
              </w:rPr>
              <w:t>ga uztura principiem atbilstošu</w:t>
            </w:r>
            <w:r w:rsidRPr="00EA597E">
              <w:rPr>
                <w:bCs/>
                <w:szCs w:val="28"/>
              </w:rPr>
              <w:t xml:space="preserve"> pārtikas produktu ražošanu un piedāvāšanu patērētājiem, tostarp patērētāju informēšanu par trans-taukskābēm vai to lietošanas ierobežošanu. Vajadzības gadījumā EK ziņojumam pievi</w:t>
            </w:r>
            <w:r>
              <w:rPr>
                <w:bCs/>
                <w:szCs w:val="28"/>
              </w:rPr>
              <w:t>enos likumdošanas priekšlikumu. Ziņojums vēl joprojām nav izstrādāts.</w:t>
            </w:r>
          </w:p>
          <w:p w:rsidR="00EC04CE" w:rsidRDefault="00EC04CE" w:rsidP="00EC04CE">
            <w:pPr>
              <w:autoSpaceDE w:val="0"/>
              <w:autoSpaceDN w:val="0"/>
              <w:adjustRightInd w:val="0"/>
              <w:jc w:val="both"/>
              <w:rPr>
                <w:szCs w:val="28"/>
              </w:rPr>
            </w:pPr>
            <w:r w:rsidRPr="00EA597E">
              <w:t xml:space="preserve">ES uz doto brīdi ir </w:t>
            </w:r>
            <w:r w:rsidR="00476218">
              <w:t xml:space="preserve">jau </w:t>
            </w:r>
            <w:r w:rsidRPr="00EA597E">
              <w:t>trīs dalībvalstis, kas ir noteikušas maksimāli pieļaujamo trans-taukskābju daudzumu pārtik</w:t>
            </w:r>
            <w:r>
              <w:t>as produktos -</w:t>
            </w:r>
            <w:r w:rsidRPr="00EA597E">
              <w:t xml:space="preserve"> Dānija</w:t>
            </w:r>
            <w:r>
              <w:rPr>
                <w:rStyle w:val="FootnoteReference"/>
              </w:rPr>
              <w:footnoteReference w:id="3"/>
            </w:r>
            <w:r w:rsidRPr="00EA597E">
              <w:t xml:space="preserve"> (2003.), Austrija</w:t>
            </w:r>
            <w:r>
              <w:rPr>
                <w:rStyle w:val="FootnoteReference"/>
              </w:rPr>
              <w:footnoteReference w:id="4"/>
            </w:r>
            <w:r w:rsidRPr="00EA597E">
              <w:t xml:space="preserve"> (2009.) un Ungārija (2013.)</w:t>
            </w:r>
            <w:r w:rsidRPr="00EA597E">
              <w:rPr>
                <w:rStyle w:val="FootnoteReference"/>
              </w:rPr>
              <w:footnoteReference w:id="5"/>
            </w:r>
            <w:r w:rsidRPr="00EA597E">
              <w:t>. Eiropas reģionā trans-taukskābju daudzuma ierobežojumi ir noteikti arī Šveicē</w:t>
            </w:r>
            <w:r>
              <w:rPr>
                <w:rStyle w:val="FootnoteReference"/>
              </w:rPr>
              <w:footnoteReference w:id="6"/>
            </w:r>
            <w:r w:rsidRPr="00EA597E">
              <w:t xml:space="preserve"> (2009.), Islandē</w:t>
            </w:r>
            <w:r>
              <w:rPr>
                <w:rStyle w:val="FootnoteReference"/>
              </w:rPr>
              <w:footnoteReference w:id="7"/>
            </w:r>
            <w:r w:rsidRPr="00EA597E">
              <w:t xml:space="preserve"> (2011.) un Norvēģijā (2014.). </w:t>
            </w:r>
            <w:r>
              <w:rPr>
                <w:szCs w:val="28"/>
              </w:rPr>
              <w:t>Visās iepriekšminētajās Eiropas reģiona valstīs ir noteikts līdzīgs normatīvais regulējums trans-taukskābju ierobežošanai pārtikas produktos, nosakot maksimāli pieļaujamo trans-taukskābju daudzumu</w:t>
            </w:r>
            <w:r>
              <w:rPr>
                <w:b/>
                <w:szCs w:val="28"/>
              </w:rPr>
              <w:t xml:space="preserve"> </w:t>
            </w:r>
            <w:r>
              <w:rPr>
                <w:szCs w:val="28"/>
              </w:rPr>
              <w:t xml:space="preserve">2% (2g uz 100g no kopējā tauku daudzuma). </w:t>
            </w:r>
            <w:r w:rsidRPr="00EA597E">
              <w:t xml:space="preserve">Austrijā </w:t>
            </w:r>
            <w:r>
              <w:t>noteiktās normas attiecas</w:t>
            </w:r>
            <w:r w:rsidRPr="00EA597E">
              <w:t xml:space="preserve"> uz </w:t>
            </w:r>
            <w:r>
              <w:t xml:space="preserve">visiem pārtikas produktiem, kas atrodas tirgū – gan </w:t>
            </w:r>
            <w:r w:rsidRPr="00EA597E">
              <w:t>vietēji</w:t>
            </w:r>
            <w:r>
              <w:t>em, ievestiem un ražotiem eksportam. Savukārt Dānijā normas attiecas uz pārtikas ražošanā izmantojamām izejvielām – taukiem un eļļām</w:t>
            </w:r>
            <w:r w:rsidRPr="00EA597E">
              <w:rPr>
                <w:rStyle w:val="FootnoteReference"/>
              </w:rPr>
              <w:footnoteReference w:id="8"/>
            </w:r>
            <w:r w:rsidRPr="00EA597E">
              <w:t xml:space="preserve">. Gan Austrija, gan Dānija, ieviešot normatīvo regulējumu, kas nosaka ierobežojumus attiecībā uz pieļaujamo trans-taukskābju normu pārtikas produktiem, saskaņoja to ar EK. </w:t>
            </w:r>
            <w:r>
              <w:t xml:space="preserve"> </w:t>
            </w:r>
            <w:r w:rsidRPr="00EA597E">
              <w:t xml:space="preserve">Jāuzsver, ka gan Austrijā, gan Dānijā ierobežojumi būtiski neietekmēja pārtikas pieejamību un pārtikas ražotāji izstrādāja jaunas tehnoloģijas un metodes, </w:t>
            </w:r>
            <w:r w:rsidRPr="0013692E">
              <w:t>nepalielinot pārtikas produktu cenas.</w:t>
            </w:r>
            <w:r w:rsidRPr="00EA597E">
              <w:t xml:space="preserve"> Tāpat Dānijā trans-taukskābes tika sekmīgi samazinātas arī ātrās ēdināšanas restorānos nopērkamajai pārtikai (</w:t>
            </w:r>
            <w:proofErr w:type="spellStart"/>
            <w:r w:rsidRPr="00EA597E">
              <w:rPr>
                <w:i/>
                <w:iCs/>
              </w:rPr>
              <w:t>Fast</w:t>
            </w:r>
            <w:proofErr w:type="spellEnd"/>
            <w:r w:rsidRPr="00EA597E">
              <w:rPr>
                <w:i/>
                <w:iCs/>
              </w:rPr>
              <w:t xml:space="preserve"> </w:t>
            </w:r>
            <w:proofErr w:type="spellStart"/>
            <w:r w:rsidRPr="00EA597E">
              <w:rPr>
                <w:i/>
                <w:iCs/>
              </w:rPr>
              <w:t>food</w:t>
            </w:r>
            <w:proofErr w:type="spellEnd"/>
            <w:r w:rsidRPr="00EA597E">
              <w:t>)</w:t>
            </w:r>
            <w:r w:rsidRPr="00EA597E">
              <w:rPr>
                <w:rStyle w:val="FootnoteReference"/>
              </w:rPr>
              <w:footnoteReference w:id="9"/>
            </w:r>
            <w:r w:rsidRPr="00EA597E">
              <w:t>.</w:t>
            </w:r>
            <w:r>
              <w:t xml:space="preserve"> </w:t>
            </w:r>
          </w:p>
          <w:p w:rsidR="00EC04CE" w:rsidRPr="00EA597E" w:rsidRDefault="00EC04CE" w:rsidP="00EC04CE">
            <w:pPr>
              <w:autoSpaceDE w:val="0"/>
              <w:autoSpaceDN w:val="0"/>
              <w:adjustRightInd w:val="0"/>
              <w:jc w:val="both"/>
            </w:pPr>
            <w:r>
              <w:rPr>
                <w:szCs w:val="28"/>
              </w:rPr>
              <w:t>Attiecībā par normatīvā regulējuma pārejas perioda noteikšanu Eiropas reģiona valstīs, jāuzsver, ka nevienā no valstīm</w:t>
            </w:r>
            <w:r w:rsidR="00476218">
              <w:rPr>
                <w:szCs w:val="28"/>
              </w:rPr>
              <w:t>,</w:t>
            </w:r>
            <w:r>
              <w:rPr>
                <w:szCs w:val="28"/>
              </w:rPr>
              <w:t xml:space="preserve"> kurās ir ieviests trans-taukskābju ie</w:t>
            </w:r>
            <w:r w:rsidR="00476218">
              <w:rPr>
                <w:szCs w:val="28"/>
              </w:rPr>
              <w:t>robežojums, netika</w:t>
            </w:r>
            <w:r>
              <w:rPr>
                <w:szCs w:val="28"/>
              </w:rPr>
              <w:t xml:space="preserve"> noteikts </w:t>
            </w:r>
            <w:r w:rsidR="00476218">
              <w:rPr>
                <w:szCs w:val="28"/>
              </w:rPr>
              <w:t xml:space="preserve">pārējas periods pārtikas ražotājiem, kas garāks </w:t>
            </w:r>
            <w:r>
              <w:rPr>
                <w:szCs w:val="28"/>
              </w:rPr>
              <w:t xml:space="preserve">par vienu gadu. Piemēram Dānijā, jaunās normas attiecībā uz maksimāli pieļaujamo trans-taukskābju daudzumu stājās </w:t>
            </w:r>
            <w:r w:rsidRPr="00CA36C2">
              <w:rPr>
                <w:szCs w:val="28"/>
              </w:rPr>
              <w:t xml:space="preserve">spēkā </w:t>
            </w:r>
            <w:r>
              <w:rPr>
                <w:szCs w:val="28"/>
              </w:rPr>
              <w:t>pēc</w:t>
            </w:r>
            <w:r w:rsidRPr="00CA36C2">
              <w:rPr>
                <w:szCs w:val="28"/>
              </w:rPr>
              <w:t xml:space="preserve"> deviņiem mēnešiem, Šveicē </w:t>
            </w:r>
            <w:r>
              <w:rPr>
                <w:szCs w:val="28"/>
              </w:rPr>
              <w:t xml:space="preserve"> - </w:t>
            </w:r>
            <w:r w:rsidRPr="00CA36C2">
              <w:rPr>
                <w:szCs w:val="28"/>
              </w:rPr>
              <w:t>pēc viena gada, bet Austrijā pārejas periods netika noteik</w:t>
            </w:r>
            <w:r>
              <w:rPr>
                <w:szCs w:val="28"/>
              </w:rPr>
              <w:t>ts un normas stājās spēkā uzreiz</w:t>
            </w:r>
            <w:r w:rsidRPr="00CA36C2">
              <w:rPr>
                <w:szCs w:val="28"/>
              </w:rPr>
              <w:t>.</w:t>
            </w:r>
          </w:p>
          <w:p w:rsidR="00EC04CE" w:rsidRPr="009B5B30" w:rsidRDefault="00EC04CE" w:rsidP="00EC04CE">
            <w:pPr>
              <w:autoSpaceDE w:val="0"/>
              <w:autoSpaceDN w:val="0"/>
              <w:adjustRightInd w:val="0"/>
              <w:jc w:val="both"/>
              <w:rPr>
                <w:vertAlign w:val="subscript"/>
              </w:rPr>
            </w:pPr>
            <w:r w:rsidRPr="00EA597E">
              <w:rPr>
                <w:rStyle w:val="hps"/>
                <w:rFonts w:eastAsia="Calibri"/>
              </w:rPr>
              <w:t>Trans-taukskābju izmantošana pārtikas produktu ražošanā notiek jau gandrīz gadsimtu, tomēr pēdējos gados pētnieki ir atklājuši vairākas sakarības saistībā ar trans-taukskābju lietošanas nelabvēlīgo ietekmi uz cilvēka organismu un veselību. Ņemot vērā dažādu pētījumu datus, ir pierādīts, ka trans-taukskābes negatīvi ietekmē veselību un var izraisīt sirds un asinsvadu slimības, vēzi, diabētu, aptaukošanos un pat atstāt negatīvu ietekmi uz grūtniecību un augļa attīstību</w:t>
            </w:r>
            <w:r w:rsidRPr="00EA597E">
              <w:rPr>
                <w:rStyle w:val="FootnoteReference"/>
              </w:rPr>
              <w:footnoteReference w:id="10"/>
            </w:r>
            <w:r w:rsidRPr="00EA597E">
              <w:rPr>
                <w:rStyle w:val="hps"/>
                <w:rFonts w:eastAsia="Calibri"/>
              </w:rPr>
              <w:t xml:space="preserve">. </w:t>
            </w:r>
            <w:r w:rsidRPr="00EA597E">
              <w:t xml:space="preserve">Dažādi klīniskie pētījumi pierāda, ka trans-taukskābēm ir tendence paaugstināt holesterīna līmeni asinīs pat vairāk nekā piesātinātiem taukiem (paaugstināt kopējo holesterīna līmeni asinīs par 20-30mg %). Turklāt trans-taukskābes paaugstina tieši „sliktā” holesterīna (zema blīvuma </w:t>
            </w:r>
            <w:proofErr w:type="spellStart"/>
            <w:r w:rsidRPr="00EA597E">
              <w:t>lipoproteīnu</w:t>
            </w:r>
            <w:proofErr w:type="spellEnd"/>
            <w:r w:rsidRPr="00EA597E">
              <w:t xml:space="preserve"> holesterīna) līmeni un samazina „labā” (augsta blīvuma </w:t>
            </w:r>
            <w:proofErr w:type="spellStart"/>
            <w:r w:rsidRPr="00EA597E">
              <w:t>lipoproteīnu</w:t>
            </w:r>
            <w:proofErr w:type="spellEnd"/>
            <w:r w:rsidRPr="00EA597E">
              <w:t xml:space="preserve"> holesterīna) holesterīna līmeni asinīs</w:t>
            </w:r>
            <w:r w:rsidRPr="00EA597E">
              <w:rPr>
                <w:rStyle w:val="FootnoteReference"/>
              </w:rPr>
              <w:footnoteReference w:id="11"/>
            </w:r>
            <w:r w:rsidRPr="00EA597E">
              <w:rPr>
                <w:vertAlign w:val="superscript"/>
              </w:rPr>
              <w:t>,</w:t>
            </w:r>
            <w:r w:rsidRPr="00EA597E">
              <w:rPr>
                <w:rStyle w:val="FootnoteReference"/>
              </w:rPr>
              <w:footnoteReference w:id="12"/>
            </w:r>
            <w:r w:rsidRPr="00EA597E">
              <w:rPr>
                <w:vertAlign w:val="superscript"/>
              </w:rPr>
              <w:t>,</w:t>
            </w:r>
            <w:r w:rsidRPr="00EA597E">
              <w:rPr>
                <w:rStyle w:val="FootnoteReference"/>
              </w:rPr>
              <w:footnoteReference w:id="13"/>
            </w:r>
            <w:r w:rsidRPr="00EA597E">
              <w:rPr>
                <w:vertAlign w:val="subscript"/>
              </w:rPr>
              <w:t xml:space="preserve">. </w:t>
            </w:r>
            <w:r w:rsidRPr="00EA597E">
              <w:t>Pasaules Sirds Federācija (</w:t>
            </w:r>
            <w:proofErr w:type="spellStart"/>
            <w:r w:rsidRPr="00EA597E">
              <w:rPr>
                <w:i/>
              </w:rPr>
              <w:t>World</w:t>
            </w:r>
            <w:proofErr w:type="spellEnd"/>
            <w:r w:rsidRPr="00EA597E">
              <w:rPr>
                <w:i/>
              </w:rPr>
              <w:t xml:space="preserve"> </w:t>
            </w:r>
            <w:proofErr w:type="spellStart"/>
            <w:r w:rsidRPr="00EA597E">
              <w:rPr>
                <w:i/>
              </w:rPr>
              <w:t>Heart</w:t>
            </w:r>
            <w:proofErr w:type="spellEnd"/>
            <w:r>
              <w:rPr>
                <w:i/>
              </w:rPr>
              <w:t xml:space="preserve"> </w:t>
            </w:r>
            <w:proofErr w:type="spellStart"/>
            <w:r w:rsidRPr="00EA597E">
              <w:rPr>
                <w:i/>
              </w:rPr>
              <w:t>Federation</w:t>
            </w:r>
            <w:proofErr w:type="spellEnd"/>
            <w:r w:rsidRPr="00EA597E">
              <w:t xml:space="preserve">) uzsver, ka, regulāri uzturā lietojot pārtiku ar augstu trans-taukskābju saturu, dzīves laikā pieaug risks saslimt ar sirds un asinsvadu slimībām (sirds </w:t>
            </w:r>
            <w:proofErr w:type="spellStart"/>
            <w:r w:rsidRPr="00EA597E">
              <w:t>išēmisko</w:t>
            </w:r>
            <w:proofErr w:type="spellEnd"/>
            <w:r w:rsidRPr="00EA597E">
              <w:t xml:space="preserve"> slimību, akūtu miokarda infarktu, koronāro sirds slimību)</w:t>
            </w:r>
            <w:r w:rsidRPr="00EA597E">
              <w:rPr>
                <w:rStyle w:val="FootnoteReference"/>
              </w:rPr>
              <w:footnoteReference w:id="14"/>
            </w:r>
            <w:r w:rsidRPr="00EA597E">
              <w:t>.</w:t>
            </w:r>
          </w:p>
          <w:p w:rsidR="00EC04CE" w:rsidRDefault="00EC04CE" w:rsidP="00EC04CE">
            <w:pPr>
              <w:autoSpaceDE w:val="0"/>
              <w:autoSpaceDN w:val="0"/>
              <w:adjustRightInd w:val="0"/>
              <w:jc w:val="both"/>
            </w:pPr>
            <w:r w:rsidRPr="00EA597E">
              <w:rPr>
                <w:rStyle w:val="st1"/>
                <w:color w:val="222222"/>
              </w:rPr>
              <w:t>Latvijas iedzīvotāju uztura paradumi nav veselīgi. Gan pieaugušo, gan bērnu un jauniešu vidū ir izplatīta saldumu, konditorejas izstrādājumu lietošana.</w:t>
            </w:r>
            <w:r w:rsidRPr="00EA597E">
              <w:t xml:space="preserve"> Visaugstākais trans-taukskābju saturs ir tieši dažādos saldumos un konditorejas izstrādājumos, kuru ražošanai tiek izmantotas rūpnieciski ražotas trans-taukskābes. </w:t>
            </w:r>
          </w:p>
          <w:p w:rsidR="00EC04CE" w:rsidRPr="00EA597E" w:rsidRDefault="00EC04CE" w:rsidP="00EC04CE">
            <w:pPr>
              <w:autoSpaceDE w:val="0"/>
              <w:autoSpaceDN w:val="0"/>
              <w:adjustRightInd w:val="0"/>
              <w:jc w:val="both"/>
            </w:pPr>
            <w:r w:rsidRPr="00EA597E">
              <w:t>Tādas sta</w:t>
            </w:r>
            <w:r w:rsidRPr="00EA597E">
              <w:rPr>
                <w:lang w:eastAsia="lv-LV"/>
              </w:rPr>
              <w:t xml:space="preserve">rptautiskās organizācijas kā Pasaules Veselības organizācija (PVO) un </w:t>
            </w:r>
            <w:r w:rsidRPr="00EA597E">
              <w:t>Eiropas Pārtikas nekaitīguma iestāde (EFSA) ir izstrādājušas ieteikumus/rekomendācijas dalībvalstīm veselīga un sabalansēta uztura nodrošināšanai. PVO 2003. gadā noteica, ka cilvēkam dienā ar uzturu nevajadzētu uzņemt vairāk par 1% trans-taukskābes no dienā uzņemtās enerģētiskās vērtības</w:t>
            </w:r>
            <w:r w:rsidRPr="00EA597E">
              <w:rPr>
                <w:rStyle w:val="FootnoteReference"/>
              </w:rPr>
              <w:footnoteReference w:id="15"/>
            </w:r>
            <w:r w:rsidRPr="00EA597E">
              <w:t>. EFSA 2010.gadā ieteica ES dalībvalstīm trans-taukskābju daudzumu pārtikas produktos samazināt līdz minimumam, lai tas saskanētu ar sabalansētas diētas priekšnoteikumiem</w:t>
            </w:r>
            <w:r w:rsidRPr="00EA597E">
              <w:rPr>
                <w:rStyle w:val="FootnoteReference"/>
              </w:rPr>
              <w:footnoteReference w:id="16"/>
            </w:r>
            <w:r w:rsidRPr="00EA597E">
              <w:t>.</w:t>
            </w:r>
            <w:r>
              <w:rPr>
                <w:szCs w:val="28"/>
              </w:rPr>
              <w:t xml:space="preserve"> Gan </w:t>
            </w:r>
            <w:r>
              <w:rPr>
                <w:szCs w:val="28"/>
                <w:lang w:eastAsia="lv-LV"/>
              </w:rPr>
              <w:t>PVO</w:t>
            </w:r>
            <w:r>
              <w:rPr>
                <w:rStyle w:val="FootnoteReference"/>
                <w:szCs w:val="28"/>
              </w:rPr>
              <w:footnoteReference w:id="17"/>
            </w:r>
            <w:r>
              <w:rPr>
                <w:szCs w:val="28"/>
                <w:lang w:eastAsia="lv-LV"/>
              </w:rPr>
              <w:t>, gan EFSA</w:t>
            </w:r>
            <w:r>
              <w:rPr>
                <w:rStyle w:val="FootnoteReference"/>
                <w:szCs w:val="28"/>
              </w:rPr>
              <w:footnoteReference w:id="18"/>
            </w:r>
            <w:r>
              <w:rPr>
                <w:szCs w:val="28"/>
              </w:rPr>
              <w:t xml:space="preserve"> savos atzinumos ir norādījušas, ka valstīm līdz minimumam ir jāsamazina trans-taukskābju daudzums pārtikas produktos, atzīstot, ka gan Dānijā, gan Austrijā, gan Šveicē, gan Islandē noteiktais trans-taukskābju daudzuma ierobežojums 2% ir veselībai nekaitīgs un pietiekošs, lai samazinātu risku saslimt ar hroniskām </w:t>
            </w:r>
            <w:proofErr w:type="spellStart"/>
            <w:r>
              <w:rPr>
                <w:szCs w:val="28"/>
              </w:rPr>
              <w:t>neinfekcijas</w:t>
            </w:r>
            <w:proofErr w:type="spellEnd"/>
            <w:r>
              <w:rPr>
                <w:szCs w:val="28"/>
              </w:rPr>
              <w:t xml:space="preserve"> slimībām.</w:t>
            </w:r>
          </w:p>
          <w:p w:rsidR="00EC04CE" w:rsidRPr="00EA597E" w:rsidRDefault="00EC04CE" w:rsidP="00EC04CE">
            <w:pPr>
              <w:autoSpaceDE w:val="0"/>
              <w:autoSpaceDN w:val="0"/>
              <w:adjustRightInd w:val="0"/>
              <w:jc w:val="both"/>
            </w:pPr>
            <w:r w:rsidRPr="00EA597E">
              <w:t>2013.gadā Pārtikas drošības, dzīvnieku veselības un vides zinātniskais institūts "BIOR” veica pētījumu par trans-taukskābju  izplatību pārtikas produkcijas tirgū Latvijā. Pētījuma ietvaros atklājās, ka Latvijā visaugtākā trans-taukskābju koncentrācija sastopama siera izstrādājumos, biezpiena sieriņos, krējuma un sviesta izstrādājumos.</w:t>
            </w:r>
          </w:p>
          <w:p w:rsidR="00EC04CE" w:rsidRPr="00EA597E" w:rsidRDefault="00EC04CE" w:rsidP="00EC04CE">
            <w:pPr>
              <w:autoSpaceDE w:val="0"/>
              <w:autoSpaceDN w:val="0"/>
              <w:adjustRightInd w:val="0"/>
              <w:jc w:val="both"/>
            </w:pPr>
            <w:r w:rsidRPr="00EA597E">
              <w:t>Pēc FINBALT 2012. gadā veiktā pētījuma datiem, aizvien</w:t>
            </w:r>
            <w:r>
              <w:t xml:space="preserve"> vairāk</w:t>
            </w:r>
            <w:r w:rsidRPr="00EA597E">
              <w:t xml:space="preserve"> k</w:t>
            </w:r>
            <w:r w:rsidRPr="00EA597E">
              <w:rPr>
                <w:color w:val="000000"/>
                <w:lang w:eastAsia="lv-LV"/>
              </w:rPr>
              <w:t xml:space="preserve">onditorejas izstrādājumi un saldinātie dzērieni, kuriem ir augsta </w:t>
            </w:r>
            <w:proofErr w:type="spellStart"/>
            <w:r w:rsidRPr="00EA597E">
              <w:rPr>
                <w:color w:val="000000"/>
                <w:lang w:eastAsia="lv-LV"/>
              </w:rPr>
              <w:t>kalorāža</w:t>
            </w:r>
            <w:proofErr w:type="spellEnd"/>
            <w:r w:rsidRPr="00EA597E">
              <w:rPr>
                <w:color w:val="000000"/>
                <w:lang w:eastAsia="lv-LV"/>
              </w:rPr>
              <w:t xml:space="preserve"> un zema uzturvērtība, nozīmīgai respondentu daļai ir ikdienas uztura sastāvdaļa. Trīs un vairāk dienas nedēļā kūkas un cepumus ēd 26,8% (2010.g. – 31,8%) vīriešu un 27,4% (2010.g. -30,5%) sieviešu, konfektes – 19,1% (2010.g. - 27,7%) vīriešu un 23,0% (2010.g. - 26,4%) sieviešu</w:t>
            </w:r>
            <w:r w:rsidRPr="00EA597E">
              <w:rPr>
                <w:rStyle w:val="FootnoteReference"/>
                <w:color w:val="000000"/>
                <w:lang w:eastAsia="lv-LV"/>
              </w:rPr>
              <w:footnoteReference w:id="19"/>
            </w:r>
            <w:r w:rsidRPr="00EA597E">
              <w:rPr>
                <w:color w:val="000000"/>
                <w:lang w:eastAsia="lv-LV"/>
              </w:rPr>
              <w:t xml:space="preserve">. </w:t>
            </w:r>
            <w:r w:rsidRPr="00EA597E">
              <w:t xml:space="preserve"> </w:t>
            </w:r>
            <w:r w:rsidRPr="00EA597E">
              <w:rPr>
                <w:color w:val="222222"/>
              </w:rPr>
              <w:t xml:space="preserve">Arī skolēnu vidū ir izplatīta augsta dažādu saldumu un konditorejas izstrādājumu lietošana. </w:t>
            </w:r>
            <w:r w:rsidRPr="00EA597E">
              <w:t>Gandrīz 40% aptaujāto skolēnu katru dienu vismaz reizi dienā ēd saldumus, turklāt meitenes saldumus</w:t>
            </w:r>
            <w:r w:rsidRPr="00EA597E">
              <w:rPr>
                <w:color w:val="222222"/>
              </w:rPr>
              <w:t xml:space="preserve"> </w:t>
            </w:r>
            <w:r w:rsidRPr="00EA597E">
              <w:t>katru dienu ēd vidēji par 11% biežāk nekā zēni.</w:t>
            </w:r>
          </w:p>
          <w:p w:rsidR="00EC04CE" w:rsidRPr="00EA597E" w:rsidRDefault="00EC04CE" w:rsidP="00EC04CE">
            <w:pPr>
              <w:autoSpaceDE w:val="0"/>
              <w:autoSpaceDN w:val="0"/>
              <w:adjustRightInd w:val="0"/>
              <w:jc w:val="both"/>
            </w:pPr>
            <w:r w:rsidRPr="00EA597E">
              <w:t>Vislielākais skolēnu īpatsvars, kuri saldumus ēd</w:t>
            </w:r>
            <w:r w:rsidRPr="00EA597E">
              <w:rPr>
                <w:color w:val="222222"/>
              </w:rPr>
              <w:t xml:space="preserve"> </w:t>
            </w:r>
            <w:r w:rsidRPr="00EA597E">
              <w:t>katru dienu, ir 13 gadu vecumā.</w:t>
            </w:r>
            <w:r w:rsidRPr="00EA597E">
              <w:rPr>
                <w:color w:val="222222"/>
              </w:rPr>
              <w:t xml:space="preserve"> </w:t>
            </w:r>
            <w:r w:rsidRPr="00EA597E">
              <w:t>Čipsus vismaz reizi nedēļā ēd 59% aptaujāto skolēnu, bet 7,7% – katru dienu vismaz reizi dienā.</w:t>
            </w:r>
            <w:r w:rsidRPr="00EA597E">
              <w:rPr>
                <w:color w:val="222222"/>
              </w:rPr>
              <w:t xml:space="preserve"> </w:t>
            </w:r>
            <w:r w:rsidRPr="00EA597E">
              <w:t>Statistiski ticami vislielākais skolēnu īpatsvars, kuri čipsus lieto vismaz reizi nedēļā, ir 13 gadu</w:t>
            </w:r>
            <w:r w:rsidRPr="00EA597E">
              <w:rPr>
                <w:color w:val="222222"/>
              </w:rPr>
              <w:t xml:space="preserve"> </w:t>
            </w:r>
            <w:r w:rsidRPr="00EA597E">
              <w:t>vecumā</w:t>
            </w:r>
            <w:r w:rsidRPr="00EA597E">
              <w:rPr>
                <w:rStyle w:val="FootnoteReference"/>
              </w:rPr>
              <w:footnoteReference w:id="20"/>
            </w:r>
            <w:r w:rsidRPr="00EA597E">
              <w:t>.</w:t>
            </w:r>
          </w:p>
          <w:p w:rsidR="00EC04CE" w:rsidRPr="00EA597E" w:rsidRDefault="00EC04CE" w:rsidP="00EC04CE">
            <w:pPr>
              <w:autoSpaceDE w:val="0"/>
              <w:autoSpaceDN w:val="0"/>
              <w:adjustRightInd w:val="0"/>
              <w:jc w:val="both"/>
            </w:pPr>
            <w:r w:rsidRPr="00EA597E">
              <w:t>Latvijā ir novērota arī augsta aptaukošanās izplatība. Liekās ķermeņa masas un aptaukošanās īpatsvars populācijā (2012.) ir relatīvi liels – kopumā 49,1% (2010.g. – 45,1%) respondentu – 52,1% (44,8%) vīriešu un 46,4% (45,4%) sieviešu. Palielinoties vecumam, liekās ķermeņa masas un aptaukošanās izplatība pieaug</w:t>
            </w:r>
            <w:r w:rsidRPr="00EA597E">
              <w:rPr>
                <w:rStyle w:val="FootnoteReference"/>
              </w:rPr>
              <w:footnoteReference w:id="21"/>
            </w:r>
            <w:r w:rsidRPr="00EA597E">
              <w:t xml:space="preserve">. Arī bērnu vidū novērojama aptaukošanās izplatība. Bērnu </w:t>
            </w:r>
            <w:proofErr w:type="spellStart"/>
            <w:r w:rsidRPr="00EA597E">
              <w:t>antropometrisko</w:t>
            </w:r>
            <w:proofErr w:type="spellEnd"/>
            <w:r w:rsidRPr="00EA597E">
              <w:t xml:space="preserve"> parametru un skolu vides pētījuma Latvijā 2012./2013. </w:t>
            </w:r>
            <w:proofErr w:type="spellStart"/>
            <w:r w:rsidRPr="00EA597E">
              <w:t>māc.g</w:t>
            </w:r>
            <w:proofErr w:type="spellEnd"/>
            <w:r w:rsidRPr="00EA597E">
              <w:t>. dati rāda, ka divām trešdaļām septiņgadīgu pirmklasnieku ir normāls svars (67%), 10,4% ir nepietiekams svars, savukārt 22,5% ir liekā ķermeņa masa vai aptaukošanās</w:t>
            </w:r>
            <w:r w:rsidRPr="00EA597E">
              <w:rPr>
                <w:rStyle w:val="FootnoteReference"/>
              </w:rPr>
              <w:footnoteReference w:id="22"/>
            </w:r>
            <w:r w:rsidRPr="00EA597E">
              <w:t>.</w:t>
            </w:r>
          </w:p>
          <w:p w:rsidR="00EC04CE" w:rsidRDefault="00EC04CE" w:rsidP="00EC04CE">
            <w:pPr>
              <w:autoSpaceDE w:val="0"/>
              <w:autoSpaceDN w:val="0"/>
              <w:adjustRightInd w:val="0"/>
              <w:jc w:val="both"/>
              <w:rPr>
                <w:color w:val="000000"/>
                <w:lang w:eastAsia="lv-LV"/>
              </w:rPr>
            </w:pPr>
            <w:r w:rsidRPr="00EA597E">
              <w:t xml:space="preserve">Arī Latvijas iedzīvotāju mirstības rādītāji no sirds un asinsvadu slimībām norāda, ka Latvijas iedzīvotājiem ir neveselīgi dzīvesveida paradumi (nesabalansēta un trans-taukskābēm bagāta uztura lietošana, mazkustīgums, kaitīgie ieradumi). </w:t>
            </w:r>
            <w:r w:rsidRPr="00EA597E">
              <w:rPr>
                <w:color w:val="000000"/>
                <w:lang w:eastAsia="lv-LV"/>
              </w:rPr>
              <w:t xml:space="preserve">Sirds un asinsvadu sistēmas slimības ir nozīmīgākā sabiedrības veselības problēma Latvijā un viena no nozīmīgākajām visā pasaulē. To apliecina arī augstie mirstības, saslimstības un hospitalizācijas rādītāji. </w:t>
            </w:r>
          </w:p>
          <w:p w:rsidR="00EC04CE" w:rsidRPr="00EA597E" w:rsidRDefault="00EC04CE" w:rsidP="00EC04CE">
            <w:pPr>
              <w:autoSpaceDE w:val="0"/>
              <w:autoSpaceDN w:val="0"/>
              <w:adjustRightInd w:val="0"/>
              <w:jc w:val="both"/>
            </w:pPr>
            <w:r w:rsidRPr="00EA597E">
              <w:rPr>
                <w:lang w:eastAsia="lv-LV"/>
              </w:rPr>
              <w:t>Pēc Slimību profilakses un kontroles centra (turpmāk -</w:t>
            </w:r>
            <w:r w:rsidR="00476218">
              <w:rPr>
                <w:lang w:eastAsia="lv-LV"/>
              </w:rPr>
              <w:t xml:space="preserve"> </w:t>
            </w:r>
            <w:r w:rsidRPr="00EA597E">
              <w:rPr>
                <w:lang w:eastAsia="lv-LV"/>
              </w:rPr>
              <w:t xml:space="preserve">SPKC) sniegtajiem datiem, </w:t>
            </w:r>
            <w:r w:rsidRPr="00EA597E">
              <w:rPr>
                <w:color w:val="000000"/>
                <w:lang w:eastAsia="lv-LV"/>
              </w:rPr>
              <w:t xml:space="preserve">sirds un asinsvadu sistēmas slimības 2012. gadā ir bijis visizplatītākais nāves cēlonis (54,9% no visiem mirušajiem) Latvijā. Kopējais mirušo skaits ik gadu ir ap 16 000 (2012. gadā 16 313), no kuriem piektā daļa ir miruši līdz 64 gadu vecumam (Latvijas iedzīvotāju nāves cēloņu datu bāze, SPKC) turklāt standartizētā mirstība (līdz 64 gadu vecumam) no sirds un asinsvadu slimībām Latvijā ir trīs reizes augstāka nekā vidēji ES valstīs un augstākā Baltijas valstīs. </w:t>
            </w:r>
            <w:r w:rsidRPr="00EA597E">
              <w:t xml:space="preserve"> </w:t>
            </w:r>
            <w:r w:rsidRPr="00EA597E">
              <w:rPr>
                <w:color w:val="000000"/>
                <w:lang w:eastAsia="lv-LV"/>
              </w:rPr>
              <w:t>Kopējā mirstība no sirds un asinsvadu sistēmas slimībām pēdējos gados ir svārstīga. Tā ir augstāka sievietēm (855 uz 100 000 iedzīvotājiem 2012. gadā) nekā vīriešiem (738,9 uz 100 000 iedzīvotājiem 2012. gadā).</w:t>
            </w:r>
          </w:p>
          <w:p w:rsidR="00EC04CE" w:rsidRPr="00EA597E" w:rsidRDefault="00EC04CE" w:rsidP="00EC04CE">
            <w:pPr>
              <w:autoSpaceDE w:val="0"/>
              <w:autoSpaceDN w:val="0"/>
              <w:adjustRightInd w:val="0"/>
              <w:jc w:val="both"/>
            </w:pPr>
            <w:r w:rsidRPr="00EA597E">
              <w:t>Galvenā problēma, kāpēc tieši Latvijā nepieciešams ierobežot trans-taukskābju daudzumu pārtikas produktos, nosakot maksimāli pieļaujamo daudzumu, ir tieši augstā saslimstība un mirstība no sirds un asinsvadu slimībām. Aptuveni 75% sirds un asinsvadu saslimšanu cēloņiem ir saistīti ar novēršamiem riska faktoriem</w:t>
            </w:r>
            <w:r w:rsidRPr="00EA597E">
              <w:rPr>
                <w:rStyle w:val="FootnoteReference"/>
              </w:rPr>
              <w:footnoteReference w:id="23"/>
            </w:r>
            <w:r w:rsidRPr="00EA597E">
              <w:t xml:space="preserve">. </w:t>
            </w:r>
          </w:p>
          <w:p w:rsidR="00EC04CE" w:rsidRPr="00EA597E" w:rsidRDefault="00EC04CE" w:rsidP="00EC04CE">
            <w:pPr>
              <w:autoSpaceDE w:val="0"/>
              <w:autoSpaceDN w:val="0"/>
              <w:adjustRightInd w:val="0"/>
              <w:jc w:val="both"/>
            </w:pPr>
            <w:r w:rsidRPr="00EA597E">
              <w:t>Atbilstoši PVO</w:t>
            </w:r>
            <w:r w:rsidRPr="00EA597E">
              <w:rPr>
                <w:rStyle w:val="FootnoteReference"/>
              </w:rPr>
              <w:footnoteReference w:id="24"/>
            </w:r>
            <w:r w:rsidRPr="00EA597E">
              <w:t xml:space="preserve"> tieši neveselīgs uzturs (ar trans-taukskābēm, cukuru un sāli bagātu ēdienu</w:t>
            </w:r>
            <w:r w:rsidRPr="00EA597E">
              <w:rPr>
                <w:rStyle w:val="st1"/>
                <w:color w:val="222222"/>
              </w:rPr>
              <w:t xml:space="preserve"> lietošana un mazs augļu un dārzeņu patēriņš uzturā)</w:t>
            </w:r>
            <w:r w:rsidRPr="00EA597E">
              <w:t xml:space="preserve"> ir viens no hronisko </w:t>
            </w:r>
            <w:proofErr w:type="spellStart"/>
            <w:r w:rsidRPr="00EA597E">
              <w:t>neinfekcijas</w:t>
            </w:r>
            <w:proofErr w:type="spellEnd"/>
            <w:r w:rsidRPr="00EA597E">
              <w:t xml:space="preserve"> slimību (tai skaitā sirds un asinsvadu slimību) saslimšanas riska faktoriem. </w:t>
            </w:r>
          </w:p>
          <w:p w:rsidR="00EC04CE" w:rsidRPr="003553E6" w:rsidRDefault="00EC04CE" w:rsidP="00EC04CE">
            <w:pPr>
              <w:jc w:val="both"/>
              <w:rPr>
                <w:bCs/>
              </w:rPr>
            </w:pPr>
            <w:r w:rsidRPr="00EA597E">
              <w:t>Ministru kabineta noteikumu projekts</w:t>
            </w:r>
            <w:r w:rsidRPr="00EA597E">
              <w:rPr>
                <w:bCs/>
              </w:rPr>
              <w:t xml:space="preserve"> „Noteikumi par maksimāli  pieļaujamo trans-taukskābju daudzumu pārtikas produktos” (turpmāk – noteikumu projekts) </w:t>
            </w:r>
            <w:r w:rsidRPr="00EA597E">
              <w:t>izstrādāts, lai noteiktu maksimāli pieļaujamo trans-tauksk</w:t>
            </w:r>
            <w:r>
              <w:t xml:space="preserve">ābju daudzumu pārtikas produktiem, kas laisti vai darīti pieejami </w:t>
            </w:r>
            <w:r>
              <w:rPr>
                <w:bCs/>
              </w:rPr>
              <w:t>Latvijas tirgū, t.sk.</w:t>
            </w:r>
            <w:r w:rsidRPr="00EA597E">
              <w:rPr>
                <w:bCs/>
              </w:rPr>
              <w:t xml:space="preserve"> ievesti no citām ES dalībvalstīm vai</w:t>
            </w:r>
            <w:r>
              <w:rPr>
                <w:bCs/>
              </w:rPr>
              <w:t xml:space="preserve"> importēti no</w:t>
            </w:r>
            <w:r w:rsidRPr="00EA597E">
              <w:rPr>
                <w:bCs/>
              </w:rPr>
              <w:t xml:space="preserve"> trešajām valstīm, tādējādi ierobežojot pārtikas produktu ar augstu trans-taukskābju saturu patēriņu un pieejamību sabiedrībā un uzlabojot Latvijas iedzīvotāju uztura paradumus, kas ilgtermiņā uzlabos sabiedrības veselības rādītājus.</w:t>
            </w:r>
            <w:r w:rsidRPr="00EA597E">
              <w:t xml:space="preserve"> </w:t>
            </w:r>
          </w:p>
          <w:p w:rsidR="00EC04CE" w:rsidRPr="00EA597E" w:rsidRDefault="00EC04CE" w:rsidP="00EC04CE">
            <w:pPr>
              <w:jc w:val="both"/>
            </w:pPr>
            <w:r w:rsidRPr="00EA597E">
              <w:t xml:space="preserve">Noteikumu projekts balstīts uz Austrijas normatīvo regulējumu, kur trans-taukskābju ierobežojumi attiecas ne tikai uz  pārtikas ražošanā izmantojamām izejvielām – eļļām un taukiem, bet arī uz pašiem pārtikas produktiem, nosakot maksimāli pieļaujamo trans-taukskābju daudzumu. </w:t>
            </w:r>
          </w:p>
          <w:p w:rsidR="00EC04CE" w:rsidRDefault="00EC04CE" w:rsidP="00EC04CE">
            <w:pPr>
              <w:jc w:val="both"/>
            </w:pPr>
            <w:r w:rsidRPr="00EA597E">
              <w:t>Noteikumu projekts attieksies uz tām trans-taukskābēm, kas atbilst 2011.gada 25.oktobra Eiropas Parlamenta un Padomes Regulai (ES) Nr.1169/2011</w:t>
            </w:r>
            <w:r w:rsidRPr="00EA597E">
              <w:rPr>
                <w:rFonts w:cs="EUAlbertina"/>
                <w:b/>
                <w:bCs/>
                <w:color w:val="000000"/>
              </w:rPr>
              <w:t xml:space="preserve"> </w:t>
            </w:r>
            <w:r w:rsidRPr="00EA597E">
              <w:rPr>
                <w:bCs/>
                <w:color w:val="000000"/>
              </w:rPr>
              <w:t>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Pr="00EA597E">
              <w:t xml:space="preserve"> 1.pielikuma definīcijai, kur noteikts, ka trans-taukskābes ir taukskābes  ar vismaz vienu nesaistītu (proti, ar vismaz vienu </w:t>
            </w:r>
            <w:proofErr w:type="spellStart"/>
            <w:r w:rsidRPr="00EA597E">
              <w:t>metilēna</w:t>
            </w:r>
            <w:proofErr w:type="spellEnd"/>
            <w:r w:rsidRPr="00EA597E">
              <w:t xml:space="preserve"> grupas iestarpinājumu) oglekļa–oglekļa divkāršo saiti trans-konfigur</w:t>
            </w:r>
            <w:r w:rsidRPr="006A5796">
              <w:t xml:space="preserve">ācijā. </w:t>
            </w:r>
          </w:p>
          <w:p w:rsidR="00EC04CE" w:rsidRPr="006A5796" w:rsidRDefault="00EC04CE" w:rsidP="00EC04CE">
            <w:pPr>
              <w:jc w:val="both"/>
              <w:rPr>
                <w:sz w:val="28"/>
                <w:szCs w:val="28"/>
              </w:rPr>
            </w:pPr>
            <w:r>
              <w:t xml:space="preserve">Noteikumos noteiktās prasības </w:t>
            </w:r>
            <w:r w:rsidRPr="002B7AC2">
              <w:t xml:space="preserve">tiks piemērotas pārtikas produktiem, kuru sastāvā ir </w:t>
            </w:r>
            <w:r w:rsidRPr="002B7AC2">
              <w:rPr>
                <w:color w:val="000000"/>
              </w:rPr>
              <w:t xml:space="preserve">trans-taukskābes, kas radušās šādos </w:t>
            </w:r>
            <w:r w:rsidRPr="002B7AC2">
              <w:t xml:space="preserve">pārtikas ražošanos tehnoloģiskajos procesos - </w:t>
            </w:r>
            <w:proofErr w:type="spellStart"/>
            <w:r w:rsidRPr="002B7AC2">
              <w:t>hidrogenējot</w:t>
            </w:r>
            <w:proofErr w:type="spellEnd"/>
            <w:r w:rsidRPr="002B7AC2">
              <w:t xml:space="preserve"> eļļas, spiežot eļļas augstās temperatūrās, eļļās cepot un karsējot pārtikas produktus, kā arī taukus saturošus pārtika</w:t>
            </w:r>
            <w:r>
              <w:t xml:space="preserve">s produktus cepot un </w:t>
            </w:r>
            <w:proofErr w:type="spellStart"/>
            <w:r>
              <w:t>grilējot</w:t>
            </w:r>
            <w:proofErr w:type="spellEnd"/>
            <w:r>
              <w:t xml:space="preserve">, kas ir salikti, </w:t>
            </w:r>
            <w:r w:rsidRPr="002B7AC2">
              <w:t>augu eļļu</w:t>
            </w:r>
            <w:r>
              <w:t xml:space="preserve"> saturoši un </w:t>
            </w:r>
            <w:r w:rsidRPr="002B7AC2">
              <w:t>dzīvnieku izcelsmes produkti</w:t>
            </w:r>
            <w:r>
              <w:t xml:space="preserve"> piem. </w:t>
            </w:r>
            <w:r w:rsidRPr="002B7AC2">
              <w:t>pusfabrikāti, kā</w:t>
            </w:r>
            <w:r>
              <w:t xml:space="preserve"> dažādi gaļas un zivju izstrādājumi</w:t>
            </w:r>
            <w:r w:rsidRPr="002B7AC2">
              <w:t xml:space="preserve">, gatavās pankūkas, kā arī citi </w:t>
            </w:r>
            <w:r>
              <w:t>šajā kategorijā</w:t>
            </w:r>
            <w:r w:rsidRPr="002B7AC2">
              <w:t xml:space="preserve"> ietilps</w:t>
            </w:r>
            <w:r>
              <w:t>toši</w:t>
            </w:r>
            <w:r w:rsidRPr="002B7AC2">
              <w:t xml:space="preserve"> produkti, kas </w:t>
            </w:r>
            <w:r>
              <w:t xml:space="preserve">tiek atkārtoti cepti un </w:t>
            </w:r>
            <w:proofErr w:type="spellStart"/>
            <w:r>
              <w:t>grilēti</w:t>
            </w:r>
            <w:proofErr w:type="spellEnd"/>
            <w:r w:rsidRPr="002B7AC2">
              <w:t>.</w:t>
            </w:r>
          </w:p>
          <w:p w:rsidR="00EC04CE" w:rsidRDefault="00EC04CE" w:rsidP="00EC04CE">
            <w:pPr>
              <w:jc w:val="both"/>
            </w:pPr>
            <w:r w:rsidRPr="00EA597E">
              <w:t>Noteikumu projektā noteiktās prasības netiks piemērotas dzīvnieku izcelsmes taukiem</w:t>
            </w:r>
            <w:r>
              <w:t xml:space="preserve"> </w:t>
            </w:r>
            <w:r w:rsidRPr="002B7AC2">
              <w:t>un produktiem</w:t>
            </w:r>
            <w:r w:rsidRPr="00EA597E">
              <w:t xml:space="preserve">, kuru sastāvā trans-taukskābes radušās dabiski un nav pievienotas pārtikas ražošanas procesos. </w:t>
            </w:r>
          </w:p>
          <w:p w:rsidR="00EC04CE" w:rsidRDefault="00EC04CE" w:rsidP="00EC04CE">
            <w:pPr>
              <w:autoSpaceDE w:val="0"/>
              <w:autoSpaceDN w:val="0"/>
              <w:adjustRightInd w:val="0"/>
              <w:jc w:val="both"/>
            </w:pPr>
            <w:r>
              <w:t xml:space="preserve">Noteikumu projekta efektīvai īstenošanai un uzraudzībai ir nepieciešams arī papildus valsts finansējums Pārtikas un veterinārajam dienestam (PVD) pārtikas kontrolēm un </w:t>
            </w:r>
            <w:r w:rsidRPr="00EA597E">
              <w:t>p</w:t>
            </w:r>
            <w:r>
              <w:t>araugu laboratoriskajām analīzēm, ko PVD šobrīd neveic. Ņ</w:t>
            </w:r>
            <w:r w:rsidRPr="00D25E3F">
              <w:t xml:space="preserve">emot vērā, ka šobrīd </w:t>
            </w:r>
            <w:r>
              <w:t xml:space="preserve">Latvijas un </w:t>
            </w:r>
            <w:r w:rsidRPr="00D25E3F">
              <w:t>ES likumdošana neparedz nedz obligātu, nedz brīvprā</w:t>
            </w:r>
            <w:r>
              <w:t xml:space="preserve">tīgu trans-taukskābju marķējamu </w:t>
            </w:r>
            <w:r w:rsidRPr="00D25E3F">
              <w:t xml:space="preserve">pārtikas produktiem, </w:t>
            </w:r>
            <w:r>
              <w:t xml:space="preserve">kā arī to, ka </w:t>
            </w:r>
            <w:r w:rsidRPr="00D25E3F">
              <w:t>prasības attieksies uz nefasētiem pārtikas produktiem</w:t>
            </w:r>
            <w:r>
              <w:t xml:space="preserve">, t.sk. ēdināšanas uzņēmumiem, tad vienīgais veids, lai uzraudzītu noteikumu projektā noteikto normu ieviešanu, ir veikt </w:t>
            </w:r>
            <w:r w:rsidRPr="00D25E3F">
              <w:t xml:space="preserve">pārtikas produktu kontroles un </w:t>
            </w:r>
            <w:r>
              <w:t xml:space="preserve">pārtikas produktu </w:t>
            </w:r>
            <w:r w:rsidRPr="00D25E3F">
              <w:t>paraugu laboratorisk</w:t>
            </w:r>
            <w:r>
              <w:t xml:space="preserve">ās analīzes. Arī Austrijā un </w:t>
            </w:r>
            <w:r w:rsidRPr="00EA597E">
              <w:t>Dānijā, lai uzraudzītu jauno prasību attiecībā uz trans-taukskābju daudzumu pārtikas produktos</w:t>
            </w:r>
            <w:r>
              <w:t xml:space="preserve"> ieviešanu</w:t>
            </w:r>
            <w:r w:rsidRPr="00EA597E">
              <w:t>, tika palielināts kontroļu skaits un tika veiktas gan vietējo, gan importēto pārtikas produktu pārbaudes.</w:t>
            </w:r>
            <w:r>
              <w:t xml:space="preserve"> </w:t>
            </w:r>
            <w:r w:rsidRPr="00EA597E">
              <w:t>Austrijā 2013.gadā pēc normatīvā regulējuma ieviešanas tika veiktas izlases kārtā gan vietējo, gan importēto pārtikas produktu kontroles, kopā nosūtot laboratoriskajai testēšanai 93 pārtikas produktu paraugus no Austrijas veikaliem, kā rezultātā pārtikas produkti ar trans-taukskābju</w:t>
            </w:r>
            <w:r>
              <w:t xml:space="preserve"> saturu virs 2% netika atrasti. Savukārt </w:t>
            </w:r>
            <w:r w:rsidRPr="00EA597E">
              <w:t xml:space="preserve">Dānijā, ieviešot jauno normatīvo regulējumu, tika veiktas izlases veidā gan vietējo, gan importēto pārtikas produktu kontroles 2003.gadā un 2004. gadā.  2003.gadā </w:t>
            </w:r>
            <w:r w:rsidRPr="00EA597E">
              <w:rPr>
                <w:color w:val="222222"/>
              </w:rPr>
              <w:t xml:space="preserve">kopā </w:t>
            </w:r>
            <w:r w:rsidRPr="00EA597E">
              <w:t xml:space="preserve">laboratoriskajai testēšanai tika nosūtīti </w:t>
            </w:r>
            <w:r w:rsidRPr="00EA597E">
              <w:rPr>
                <w:color w:val="222222"/>
              </w:rPr>
              <w:t>253 vietējās un importa izcelsmes pārtikas produktu paraugi, bet 2004.gadā  - 148 pārtikas produktu paraugi</w:t>
            </w:r>
            <w:r w:rsidRPr="00EA597E">
              <w:t>, kā rezultātā nevienā laboratoriski pārbaudītā pārtikas produktā netika pārsniegts 2% noteiktais trans-taukskābju daudzuma līmenis.</w:t>
            </w:r>
          </w:p>
          <w:p w:rsidR="00EC04CE" w:rsidRDefault="00EC04CE" w:rsidP="00EC04CE">
            <w:pPr>
              <w:autoSpaceDE w:val="0"/>
              <w:autoSpaceDN w:val="0"/>
              <w:adjustRightInd w:val="0"/>
              <w:jc w:val="both"/>
            </w:pPr>
            <w:r>
              <w:t>Ja PVD konstatēs</w:t>
            </w:r>
            <w:r>
              <w:rPr>
                <w:bCs/>
              </w:rPr>
              <w:t xml:space="preserve"> noteikumu projektā noteikto</w:t>
            </w:r>
            <w:r w:rsidRPr="00603D7B">
              <w:rPr>
                <w:bCs/>
              </w:rPr>
              <w:t xml:space="preserve"> </w:t>
            </w:r>
            <w:r>
              <w:rPr>
                <w:bCs/>
              </w:rPr>
              <w:t xml:space="preserve">normu </w:t>
            </w:r>
            <w:r w:rsidRPr="00603D7B">
              <w:rPr>
                <w:bCs/>
              </w:rPr>
              <w:t>attiecībā uz trans-taukskābju daudzumu pārtikas produktos pārkāpumu</w:t>
            </w:r>
            <w:r>
              <w:rPr>
                <w:bCs/>
              </w:rPr>
              <w:t>, tad PVD atbilstoši</w:t>
            </w:r>
            <w:r>
              <w:t xml:space="preserve"> </w:t>
            </w:r>
            <w:r w:rsidRPr="00720265">
              <w:t>Pār</w:t>
            </w:r>
            <w:r>
              <w:t xml:space="preserve">tikas aprites uzraudzības likuma </w:t>
            </w:r>
            <w:r>
              <w:rPr>
                <w:bCs/>
              </w:rPr>
              <w:t>27.panta pirmajai daļai</w:t>
            </w:r>
            <w:r w:rsidRPr="00720265">
              <w:rPr>
                <w:bCs/>
              </w:rPr>
              <w:t xml:space="preserve"> </w:t>
            </w:r>
            <w:r>
              <w:t xml:space="preserve">varēs izdot pārtikas uzņēmumam rakstveida brīdinājumu un varēs apturēt </w:t>
            </w:r>
            <w:r w:rsidRPr="00720265">
              <w:t>vai ierobežot pārtikas uzņēmuma darbību (tostarp tā struktūrvienības</w:t>
            </w:r>
            <w:r>
              <w:t xml:space="preserve"> vai</w:t>
            </w:r>
            <w:r w:rsidR="00476218">
              <w:t xml:space="preserve"> atsevišķu iekārtu darbību), pamatojoties uz</w:t>
            </w:r>
            <w:r>
              <w:t xml:space="preserve"> Latvijas Administratīvo pārkāpumu kodeksa 103.</w:t>
            </w:r>
            <w:r w:rsidRPr="001643A0">
              <w:rPr>
                <w:vertAlign w:val="superscript"/>
              </w:rPr>
              <w:t>3</w:t>
            </w:r>
            <w:r w:rsidR="00476218">
              <w:t>pantu</w:t>
            </w:r>
            <w:r>
              <w:t>, kas paredz pārtikas ražotājus vai pārtikas uzņēmumus saukt pie administratīvās atbildības par pārtikas aprites prasību pārkāpšanu.</w:t>
            </w:r>
          </w:p>
          <w:p w:rsidR="00EC04CE" w:rsidRDefault="00EC04CE" w:rsidP="00EC04CE">
            <w:pPr>
              <w:jc w:val="both"/>
            </w:pPr>
            <w:r w:rsidRPr="00A457C0">
              <w:t>Veselības ministrij</w:t>
            </w:r>
            <w:r>
              <w:t>a ir izvērtējusi dažādus trans-</w:t>
            </w:r>
            <w:r w:rsidRPr="00A457C0">
              <w:t>taukskābju regulē</w:t>
            </w:r>
            <w:r>
              <w:t>šanas un samazināšanas mehānismus</w:t>
            </w:r>
            <w:r w:rsidRPr="00A457C0">
              <w:t xml:space="preserve"> pārtikas produktos</w:t>
            </w:r>
            <w:r>
              <w:t xml:space="preserve">, tai skaitā arī </w:t>
            </w:r>
            <w:r w:rsidRPr="00A457C0">
              <w:t xml:space="preserve">stingrāku </w:t>
            </w:r>
            <w:r w:rsidRPr="00A457C0">
              <w:rPr>
                <w:bCs/>
                <w:color w:val="000000"/>
                <w:lang w:eastAsia="lv-LV"/>
              </w:rPr>
              <w:t>pārtikas produktu marķēšana</w:t>
            </w:r>
            <w:r>
              <w:rPr>
                <w:bCs/>
                <w:color w:val="000000"/>
                <w:lang w:eastAsia="lv-LV"/>
              </w:rPr>
              <w:t>s prasību noteikšanu</w:t>
            </w:r>
            <w:r>
              <w:t>. T</w:t>
            </w:r>
            <w:r w:rsidRPr="00A457C0">
              <w:t>omēr, ņemot vērā citu valstu pieredzi</w:t>
            </w:r>
            <w:r>
              <w:t xml:space="preserve"> (Austrija, Dānija, Šveice u.c.)</w:t>
            </w:r>
            <w:r w:rsidRPr="00A457C0">
              <w:t xml:space="preserve"> un </w:t>
            </w:r>
            <w:r>
              <w:t>PVO veikto politiku iz</w:t>
            </w:r>
            <w:r w:rsidRPr="00A457C0">
              <w:t xml:space="preserve">vērtējumu, tieši </w:t>
            </w:r>
            <w:r w:rsidRPr="00A457C0">
              <w:rPr>
                <w:bCs/>
                <w:color w:val="000000"/>
                <w:lang w:eastAsia="lv-LV"/>
              </w:rPr>
              <w:t>t</w:t>
            </w:r>
            <w:r>
              <w:rPr>
                <w:bCs/>
                <w:color w:val="000000"/>
                <w:lang w:eastAsia="lv-LV"/>
              </w:rPr>
              <w:t>rans-</w:t>
            </w:r>
            <w:r w:rsidRPr="00A457C0">
              <w:rPr>
                <w:bCs/>
                <w:color w:val="000000"/>
                <w:lang w:eastAsia="lv-LV"/>
              </w:rPr>
              <w:t xml:space="preserve">taukskābju </w:t>
            </w:r>
            <w:r>
              <w:t>ierobežojumu noteikšana</w:t>
            </w:r>
            <w:r w:rsidRPr="00A457C0">
              <w:t xml:space="preserve"> pārtikas prod</w:t>
            </w:r>
            <w:r>
              <w:t>uktos, nosakot pieļaujamo trans-</w:t>
            </w:r>
            <w:r w:rsidRPr="00A457C0">
              <w:t>taukskābju daudzumu, ir finansiāli efektīv</w:t>
            </w:r>
            <w:r>
              <w:t>ākais veids, kā samazināt trans-</w:t>
            </w:r>
            <w:r w:rsidRPr="00A457C0">
              <w:t xml:space="preserve">taukskābju </w:t>
            </w:r>
            <w:r>
              <w:t xml:space="preserve">daudzumu pārtikas produktos un </w:t>
            </w:r>
            <w:r w:rsidRPr="00A457C0">
              <w:t>patēriņu sabiedrībā kopumā.</w:t>
            </w:r>
            <w:r>
              <w:t xml:space="preserve"> Nosakot stingrākas marķēšanas prasības, iespējams samazināt</w:t>
            </w:r>
            <w:r w:rsidRPr="00A457C0">
              <w:t xml:space="preserve"> </w:t>
            </w:r>
            <w:r>
              <w:t xml:space="preserve">pārtikas produktu ar augstu </w:t>
            </w:r>
            <w:r w:rsidRPr="00A457C0">
              <w:t>tran</w:t>
            </w:r>
            <w:r>
              <w:t>s-</w:t>
            </w:r>
            <w:r w:rsidRPr="00A457C0">
              <w:t>taukskābju</w:t>
            </w:r>
            <w:r>
              <w:t xml:space="preserve"> saturu</w:t>
            </w:r>
            <w:r w:rsidRPr="00A457C0">
              <w:t xml:space="preserve"> lietošanu sabiedrībā, tomēr tas būs ilgtermiņa process, kas prasīs </w:t>
            </w:r>
            <w:r>
              <w:t xml:space="preserve">arī </w:t>
            </w:r>
            <w:r w:rsidRPr="00A457C0">
              <w:t>papildus sabiedr</w:t>
            </w:r>
            <w:r>
              <w:t xml:space="preserve">ības izglītošanas pasākumus, tāpat šos produktus turpinās lietot </w:t>
            </w:r>
            <w:r w:rsidRPr="00A457C0">
              <w:t xml:space="preserve">sabiedrības grupas ar zemiem ienākumiem (maznodrošinātie),  </w:t>
            </w:r>
            <w:r>
              <w:t>ņemot vērā, ka šie produkti, ir lētāki. Tāpat nav iespējams izvietot marķējumu arī uz</w:t>
            </w:r>
            <w:r w:rsidRPr="00A457C0">
              <w:t xml:space="preserve"> </w:t>
            </w:r>
            <w:r>
              <w:t>nefasētas pārtikas</w:t>
            </w:r>
            <w:r w:rsidR="00476218">
              <w:t>, kas tiek piedāvāta sabiedriskajā</w:t>
            </w:r>
            <w:r>
              <w:t xml:space="preserve"> ēdināšanā. Kā rāda Dānijas un Šveices pieredze, tad </w:t>
            </w:r>
            <w:r w:rsidRPr="00A457C0">
              <w:t>pilnībā ierobežot pārtikas produktu lietošan</w:t>
            </w:r>
            <w:r>
              <w:t>u un pieejamību ar augstu trans-</w:t>
            </w:r>
            <w:r w:rsidRPr="00A457C0">
              <w:t>taukskābju saturu sabiedrībā, tai skaitā sabiedrības grupās ar zemiem ienākumie</w:t>
            </w:r>
            <w:r>
              <w:t>m, izdevās tikai ieviešot</w:t>
            </w:r>
          </w:p>
          <w:p w:rsidR="00EC04CE" w:rsidRPr="00572B49" w:rsidRDefault="00EC04CE" w:rsidP="00EC04CE">
            <w:pPr>
              <w:jc w:val="both"/>
            </w:pPr>
            <w:r>
              <w:t>trans-</w:t>
            </w:r>
            <w:r w:rsidRPr="00A457C0">
              <w:t>taukskābju ierobežojumus.</w:t>
            </w:r>
            <w:r>
              <w:t xml:space="preserve"> </w:t>
            </w:r>
            <w:r>
              <w:rPr>
                <w:bCs/>
              </w:rPr>
              <w:t>Nav lietderīgi noteikt obligātas vai brīvprātīgas marķēšanas prasības norādīt trans-taukskābju daudzumu, jo noteikumu projekts paredz noteikt maksimāli pieļaujamo trans-taukskābju normu</w:t>
            </w:r>
            <w:r w:rsidRPr="00A457C0">
              <w:rPr>
                <w:bCs/>
              </w:rPr>
              <w:t xml:space="preserve"> </w:t>
            </w:r>
            <w:r w:rsidRPr="00A457C0">
              <w:t>gan</w:t>
            </w:r>
            <w:r>
              <w:t xml:space="preserve"> nefasētajos</w:t>
            </w:r>
            <w:r w:rsidRPr="00A457C0">
              <w:t>, gan fasētajos pārtikas produktos</w:t>
            </w:r>
            <w:r>
              <w:t>, tādejādi  patērētāji varēs būt droši, ka visos pārtikas produktos būs minimāls trans-taukskābju daudzums un nav nepieciešamība izvietot speciālu marķējumu.</w:t>
            </w:r>
          </w:p>
          <w:p w:rsidR="00194D09" w:rsidRPr="00194D09" w:rsidRDefault="00EC04CE" w:rsidP="00EC04CE">
            <w:pPr>
              <w:pStyle w:val="Default"/>
              <w:jc w:val="both"/>
            </w:pPr>
            <w:r w:rsidRPr="00EA597E">
              <w:t xml:space="preserve">Izstrādājot normatīvo regulējumu un pieņemot noteikumu projektu, tiks ierobežots trans-taukskābju daudzums pārtikas produktos līdz tādam daudzumam, kas nekaitēs cilvēka veselībai (2%), </w:t>
            </w:r>
            <w:r>
              <w:t>kas ilgtermiņā</w:t>
            </w:r>
            <w:r w:rsidRPr="00EA597E">
              <w:t xml:space="preserve"> nozīmē, ka Latvijas iedzīvotājiem būs pieejami pārtikas produkti ar samazinātu trans-taukskābju daudzumu. Latvijas iedzīvotāju ikdienas uzturā tiks samazināts uzņemtais trans-taukskābju daudzums, kas savukārt uzlabos kopējos sabiedrības veselības rādītājus (holesterīna līmenis, aptaukošanās rādītāji) un samazinās Latvijas iedzīvotāju risku saslimst ar hroniskajām </w:t>
            </w:r>
            <w:proofErr w:type="spellStart"/>
            <w:r w:rsidRPr="00EA597E">
              <w:t>neinfekcijas</w:t>
            </w:r>
            <w:proofErr w:type="spellEnd"/>
            <w:r w:rsidRPr="00EA597E">
              <w:t xml:space="preserve"> slimībām (sirds un asinsvadu slimībām, cukura diabētu, onkoloģiskām saslimšanām). Tāpat, nosakot maksimāli pieļaujamo trans-taukskābju daudzumu pārtikas produktos,</w:t>
            </w:r>
            <w:r w:rsidRPr="00EA597E">
              <w:rPr>
                <w:bCs/>
              </w:rPr>
              <w:t xml:space="preserve"> </w:t>
            </w:r>
            <w:r w:rsidRPr="00EA597E">
              <w:t>tiks nodrošināts sociāl</w:t>
            </w:r>
            <w:r>
              <w:t>ā</w:t>
            </w:r>
            <w:r w:rsidRPr="00EA597E">
              <w:t>s vienlīdzības princips, jo pārtikas produkti ar samazinātu trans-taukskābju daudzumu būs pieejami visiem Latvijas iedzīvotājiem neatkarīgi no to sociālekonomiskā stāvokļa</w:t>
            </w:r>
            <w:r>
              <w:t>.</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lastRenderedPageBreak/>
              <w:t>3.</w:t>
            </w:r>
          </w:p>
        </w:tc>
        <w:tc>
          <w:tcPr>
            <w:tcW w:w="1242" w:type="pct"/>
          </w:tcPr>
          <w:p w:rsidR="00E571FE" w:rsidRPr="00EA597E" w:rsidRDefault="00E571FE" w:rsidP="00BF6E4D">
            <w:pPr>
              <w:jc w:val="both"/>
              <w:rPr>
                <w:lang w:eastAsia="lv-LV"/>
              </w:rPr>
            </w:pPr>
            <w:r w:rsidRPr="00EA597E">
              <w:rPr>
                <w:lang w:eastAsia="lv-LV"/>
              </w:rPr>
              <w:t>Projekta izstrādē iesaistītās institūcijas</w:t>
            </w:r>
          </w:p>
        </w:tc>
        <w:tc>
          <w:tcPr>
            <w:tcW w:w="3509" w:type="pct"/>
          </w:tcPr>
          <w:p w:rsidR="00194D09" w:rsidRPr="00EA597E" w:rsidRDefault="008A1662" w:rsidP="00BF6E4D">
            <w:pPr>
              <w:jc w:val="both"/>
            </w:pPr>
            <w:r w:rsidRPr="00EA597E">
              <w:rPr>
                <w:iCs/>
              </w:rPr>
              <w:t>Zemkopības ministrija</w:t>
            </w:r>
            <w:r w:rsidR="00476218">
              <w:rPr>
                <w:iCs/>
              </w:rPr>
              <w:t xml:space="preserve"> (ZM)</w:t>
            </w:r>
            <w:r w:rsidRPr="00EA597E">
              <w:rPr>
                <w:iCs/>
              </w:rPr>
              <w:t>, Pārtikas un veterinārais dienests</w:t>
            </w:r>
            <w:r w:rsidR="00476218">
              <w:rPr>
                <w:iCs/>
              </w:rPr>
              <w:t xml:space="preserve"> (PVD)</w:t>
            </w:r>
            <w:r w:rsidRPr="00EA597E">
              <w:rPr>
                <w:iCs/>
              </w:rPr>
              <w:t xml:space="preserve">, </w:t>
            </w:r>
            <w:r w:rsidRPr="00EA597E">
              <w:t>Pārtikas drošības, dzīvnieku veselības un vides zinātniskais institūts „BIOR”</w:t>
            </w:r>
            <w:r w:rsidR="00476218">
              <w:t xml:space="preserve"> (BIOR)</w:t>
            </w:r>
            <w:r w:rsidRPr="00EA597E">
              <w:t xml:space="preserve">, </w:t>
            </w:r>
            <w:r w:rsidRPr="00EA597E">
              <w:rPr>
                <w:iCs/>
              </w:rPr>
              <w:t xml:space="preserve">Latvijas Diētas un uztura speciālistu asociācija, Latvijas Diētas ārstu asociācija, </w:t>
            </w:r>
            <w:r w:rsidRPr="00EA597E">
              <w:t xml:space="preserve">Latvijas </w:t>
            </w:r>
            <w:proofErr w:type="spellStart"/>
            <w:r w:rsidRPr="00EA597E">
              <w:t>Uzturzinātnes</w:t>
            </w:r>
            <w:proofErr w:type="spellEnd"/>
            <w:r w:rsidRPr="00EA597E">
              <w:t xml:space="preserve"> speciālistu biedrība.</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4.</w:t>
            </w:r>
          </w:p>
        </w:tc>
        <w:tc>
          <w:tcPr>
            <w:tcW w:w="1242" w:type="pct"/>
          </w:tcPr>
          <w:p w:rsidR="00E571FE" w:rsidRPr="00EA597E" w:rsidRDefault="00E571FE" w:rsidP="00BF6E4D">
            <w:pPr>
              <w:jc w:val="both"/>
              <w:rPr>
                <w:lang w:eastAsia="lv-LV"/>
              </w:rPr>
            </w:pPr>
            <w:r w:rsidRPr="00EA597E">
              <w:rPr>
                <w:lang w:eastAsia="lv-LV"/>
              </w:rPr>
              <w:t>Cita informācija</w:t>
            </w:r>
          </w:p>
        </w:tc>
        <w:tc>
          <w:tcPr>
            <w:tcW w:w="3509" w:type="pct"/>
          </w:tcPr>
          <w:p w:rsidR="00E571FE" w:rsidRPr="00EA597E" w:rsidRDefault="00E571FE" w:rsidP="00BF6E4D">
            <w:pPr>
              <w:jc w:val="both"/>
            </w:pPr>
            <w:r w:rsidRPr="00EA597E">
              <w:t>Nav</w:t>
            </w:r>
          </w:p>
        </w:tc>
      </w:tr>
    </w:tbl>
    <w:p w:rsidR="00E571FE" w:rsidRPr="00EA597E" w:rsidRDefault="00E571FE" w:rsidP="00BF6E4D"/>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269"/>
        <w:gridCol w:w="6408"/>
      </w:tblGrid>
      <w:tr w:rsidR="00E571FE" w:rsidRPr="00EA597E" w:rsidTr="00890432">
        <w:tc>
          <w:tcPr>
            <w:tcW w:w="0" w:type="auto"/>
            <w:gridSpan w:val="3"/>
            <w:tcBorders>
              <w:top w:val="outset" w:sz="6" w:space="0" w:color="auto"/>
              <w:bottom w:val="outset" w:sz="6" w:space="0" w:color="auto"/>
            </w:tcBorders>
          </w:tcPr>
          <w:p w:rsidR="00E571FE" w:rsidRPr="00EA597E" w:rsidRDefault="00E571FE" w:rsidP="00BF6E4D">
            <w:pPr>
              <w:jc w:val="center"/>
              <w:rPr>
                <w:b/>
                <w:sz w:val="28"/>
                <w:szCs w:val="28"/>
              </w:rPr>
            </w:pPr>
            <w:r w:rsidRPr="00EA597E">
              <w:rPr>
                <w:b/>
                <w:sz w:val="28"/>
                <w:szCs w:val="28"/>
              </w:rPr>
              <w:t>II. Tiesību akta projekta ietekme uz sabiedrību,</w:t>
            </w:r>
            <w:r w:rsidRPr="00EA597E">
              <w:rPr>
                <w:b/>
                <w:bCs/>
                <w:sz w:val="28"/>
                <w:szCs w:val="28"/>
              </w:rPr>
              <w:t xml:space="preserve"> tautsaimniecības attīstību un administratīvo slogu</w:t>
            </w:r>
          </w:p>
        </w:tc>
      </w:tr>
      <w:tr w:rsidR="00E571FE" w:rsidRPr="00EA597E" w:rsidTr="004B3E3A">
        <w:tc>
          <w:tcPr>
            <w:tcW w:w="250" w:type="pct"/>
            <w:tcBorders>
              <w:top w:val="outset" w:sz="6" w:space="0" w:color="auto"/>
              <w:right w:val="outset" w:sz="6" w:space="0" w:color="auto"/>
            </w:tcBorders>
          </w:tcPr>
          <w:p w:rsidR="00E571FE" w:rsidRPr="00EA597E" w:rsidRDefault="00E571FE" w:rsidP="00BF6E4D">
            <w:pPr>
              <w:jc w:val="center"/>
            </w:pPr>
            <w:r w:rsidRPr="00EA597E">
              <w:t>1.</w:t>
            </w:r>
          </w:p>
        </w:tc>
        <w:tc>
          <w:tcPr>
            <w:tcW w:w="1242" w:type="pct"/>
            <w:tcBorders>
              <w:top w:val="outset" w:sz="6" w:space="0" w:color="auto"/>
              <w:left w:val="outset" w:sz="6" w:space="0" w:color="auto"/>
              <w:right w:val="outset" w:sz="6" w:space="0" w:color="auto"/>
            </w:tcBorders>
          </w:tcPr>
          <w:p w:rsidR="00E571FE" w:rsidRPr="00EA597E" w:rsidRDefault="00E571FE" w:rsidP="00BF6E4D">
            <w:pPr>
              <w:jc w:val="both"/>
            </w:pPr>
            <w:r w:rsidRPr="00EA597E">
              <w:t>Sabiedrības mērķgrupas, kuras tiesiskais regulējums ietekmē vai varētu ietekmēt</w:t>
            </w:r>
          </w:p>
        </w:tc>
        <w:tc>
          <w:tcPr>
            <w:tcW w:w="3508" w:type="pct"/>
            <w:tcBorders>
              <w:top w:val="outset" w:sz="6" w:space="0" w:color="auto"/>
              <w:left w:val="outset" w:sz="6" w:space="0" w:color="auto"/>
            </w:tcBorders>
          </w:tcPr>
          <w:p w:rsidR="00681FE9" w:rsidRPr="00EA597E" w:rsidRDefault="00902B9B" w:rsidP="00476218">
            <w:pPr>
              <w:ind w:left="57" w:right="57"/>
              <w:jc w:val="both"/>
            </w:pPr>
            <w:r w:rsidRPr="00EA597E">
              <w:t xml:space="preserve">Noteikumu projekta </w:t>
            </w:r>
            <w:r w:rsidR="008A1662" w:rsidRPr="00EA597E">
              <w:t xml:space="preserve">tiesiskais regulējums tieši </w:t>
            </w:r>
            <w:r w:rsidRPr="00EA597E">
              <w:t xml:space="preserve">ietekmēs </w:t>
            </w:r>
            <w:r w:rsidR="008A1662" w:rsidRPr="00EA597E">
              <w:t xml:space="preserve">visu sabiedrību, jo tiks </w:t>
            </w:r>
            <w:r w:rsidRPr="00EA597E">
              <w:t>noteikts maksimāli pieļaujamais</w:t>
            </w:r>
            <w:r w:rsidR="006D5C18">
              <w:t xml:space="preserve"> trans-taukskābju daudzums</w:t>
            </w:r>
            <w:r w:rsidR="008A1662" w:rsidRPr="00EA597E">
              <w:t xml:space="preserve"> p</w:t>
            </w:r>
            <w:r w:rsidRPr="00EA597E">
              <w:t xml:space="preserve">ārtikas produktos, veicinot veselīgāku pārtikas produktu ražošanu un nodrošinot kvalitatīvākas pārtikas </w:t>
            </w:r>
            <w:r w:rsidR="008A1662" w:rsidRPr="00EA597E">
              <w:t>pieejamību visai sabiedrībai, tādējādi uzlabojot ilgtermiņā arī sabiedrības veselības r</w:t>
            </w:r>
            <w:r w:rsidR="00B81BBC" w:rsidRPr="00EA597E">
              <w:t xml:space="preserve">ādītājus. </w:t>
            </w:r>
            <w:r w:rsidR="0084187C" w:rsidRPr="00EA597E">
              <w:t>N</w:t>
            </w:r>
            <w:r w:rsidR="004D7BE3" w:rsidRPr="00EA597E">
              <w:t xml:space="preserve">oteikumu projekts </w:t>
            </w:r>
            <w:r w:rsidR="008A1662" w:rsidRPr="00EA597E">
              <w:t>tieši ietekmēs</w:t>
            </w:r>
            <w:r w:rsidR="0084187C" w:rsidRPr="00EA597E">
              <w:t xml:space="preserve"> arī</w:t>
            </w:r>
            <w:r w:rsidR="008A1662" w:rsidRPr="00EA597E">
              <w:t xml:space="preserve"> pārtikas ražotājus, jo tiks noteiktas normas maksimāli pieļaujamam trans-taukskābju daudzumam pārtikas produktos, kas nozīmē, ka pārtikas ražotājiem būs jāpārveido pārtikas produktu ražošanas tehnoloģijas un receptūras</w:t>
            </w:r>
            <w:r w:rsidR="00B81BBC" w:rsidRPr="00EA597E">
              <w:t>, kā rezultātā tiks ražoti kvalitatīvāki un veselīgāki pārtikas produkti.</w:t>
            </w:r>
            <w:r w:rsidR="0084187C" w:rsidRPr="00EA597E">
              <w:t xml:space="preserve"> Tāpat noteikumu projekts</w:t>
            </w:r>
            <w:r w:rsidR="006D5C18">
              <w:t xml:space="preserve"> ietekmēs </w:t>
            </w:r>
            <w:r w:rsidR="00476218">
              <w:t xml:space="preserve">PVD </w:t>
            </w:r>
            <w:r w:rsidR="0084187C" w:rsidRPr="00EA597E">
              <w:t xml:space="preserve">darbu, jo </w:t>
            </w:r>
            <w:r w:rsidR="006D5C18">
              <w:t xml:space="preserve">PVD </w:t>
            </w:r>
            <w:r w:rsidR="0084187C" w:rsidRPr="00EA597E">
              <w:t>būs nepieciešams veikt papildus pārtikas produktu kontroles, kas ietekmēs dienesta administratīvo slogu un finansiālās iespējas (paraugu laboratoriskās analīzes).</w:t>
            </w:r>
          </w:p>
        </w:tc>
      </w:tr>
      <w:tr w:rsidR="004B3E3A" w:rsidRPr="00EA597E" w:rsidTr="004B3E3A">
        <w:tc>
          <w:tcPr>
            <w:tcW w:w="250" w:type="pct"/>
            <w:tcBorders>
              <w:top w:val="outset" w:sz="6" w:space="0" w:color="auto"/>
              <w:right w:val="outset" w:sz="6" w:space="0" w:color="auto"/>
            </w:tcBorders>
          </w:tcPr>
          <w:p w:rsidR="004B3E3A" w:rsidRPr="00EA597E" w:rsidRDefault="004B3E3A" w:rsidP="00BF6E4D">
            <w:pPr>
              <w:jc w:val="center"/>
            </w:pPr>
            <w:r w:rsidRPr="00EA597E">
              <w:t>2.</w:t>
            </w:r>
          </w:p>
        </w:tc>
        <w:tc>
          <w:tcPr>
            <w:tcW w:w="1242" w:type="pct"/>
            <w:tcBorders>
              <w:top w:val="outset" w:sz="6" w:space="0" w:color="auto"/>
              <w:left w:val="outset" w:sz="6" w:space="0" w:color="auto"/>
              <w:right w:val="outset" w:sz="6" w:space="0" w:color="auto"/>
            </w:tcBorders>
          </w:tcPr>
          <w:p w:rsidR="004B3E3A" w:rsidRPr="00EA597E" w:rsidRDefault="004B3E3A" w:rsidP="00BF6E4D">
            <w:pPr>
              <w:widowControl w:val="0"/>
              <w:jc w:val="both"/>
            </w:pPr>
            <w:r w:rsidRPr="00EA597E">
              <w:t>Tiesiskā regulējuma ietekme uz tautsaimniecību un administratīvo slogu</w:t>
            </w:r>
          </w:p>
        </w:tc>
        <w:tc>
          <w:tcPr>
            <w:tcW w:w="3508" w:type="pct"/>
            <w:tcBorders>
              <w:top w:val="outset" w:sz="6" w:space="0" w:color="auto"/>
              <w:left w:val="outset" w:sz="6" w:space="0" w:color="auto"/>
            </w:tcBorders>
          </w:tcPr>
          <w:p w:rsidR="0069078F" w:rsidRDefault="004B3E3A" w:rsidP="003626B0">
            <w:pPr>
              <w:autoSpaceDE w:val="0"/>
              <w:autoSpaceDN w:val="0"/>
              <w:adjustRightInd w:val="0"/>
              <w:jc w:val="both"/>
            </w:pPr>
            <w:r w:rsidRPr="00EA597E">
              <w:t xml:space="preserve">Noteikumu projekta tiesiskais regulējums tieši ietekmēs tautsaimniecību </w:t>
            </w:r>
            <w:r w:rsidR="006D5C18">
              <w:t xml:space="preserve"> un </w:t>
            </w:r>
            <w:r w:rsidRPr="00EA597E">
              <w:t>administratīvo slogu, jo nosakot maksimāli pieļaujamo trans-taukskābju daudzumu pārtikas produktos, pārtikas ražotājiem būs jāpārveido pārtikas produktu ražošanas tehnoloģijas un receptūras. Tāpat, lai</w:t>
            </w:r>
            <w:r w:rsidR="0069078F" w:rsidRPr="00D25E3F">
              <w:t xml:space="preserve"> efektīvāk ieviestu </w:t>
            </w:r>
            <w:r w:rsidR="0069078F">
              <w:t xml:space="preserve">un uzraudzītu </w:t>
            </w:r>
            <w:r w:rsidR="0069078F" w:rsidRPr="00D25E3F">
              <w:t>noteikumu projektā  noteiktās prasības</w:t>
            </w:r>
            <w:r w:rsidR="0069078F">
              <w:t xml:space="preserve">, </w:t>
            </w:r>
            <w:r w:rsidR="006D5C18">
              <w:t xml:space="preserve">PVD </w:t>
            </w:r>
            <w:r w:rsidRPr="00EA597E">
              <w:t>būs nepieciešams veikt papildus pārtikas produktu kontroles</w:t>
            </w:r>
            <w:r w:rsidR="0069078F">
              <w:t xml:space="preserve">, </w:t>
            </w:r>
            <w:r w:rsidRPr="00EA597E">
              <w:t xml:space="preserve">kas ietekmēs </w:t>
            </w:r>
            <w:r w:rsidR="006D5C18">
              <w:t xml:space="preserve">PVD </w:t>
            </w:r>
            <w:r w:rsidRPr="00EA597E">
              <w:t>administratīvo slogu un finansiālās iespējas (p</w:t>
            </w:r>
            <w:r w:rsidR="0069078F">
              <w:t>araugu laboratoriskās analīzes), kam</w:t>
            </w:r>
            <w:r w:rsidRPr="00EA597E">
              <w:t xml:space="preserve"> </w:t>
            </w:r>
            <w:r w:rsidR="0069078F" w:rsidRPr="00D25E3F">
              <w:t>ir ne</w:t>
            </w:r>
            <w:r w:rsidR="0069078F">
              <w:t>pieciešams papildus finansējums. Ņ</w:t>
            </w:r>
            <w:r w:rsidR="0069078F" w:rsidRPr="00D25E3F">
              <w:t>emot vērā, ka šobrīd ne Latvijas, ne ES likumdošana neparedz nedz obligātu, nedz brīvprā</w:t>
            </w:r>
            <w:r w:rsidR="0069078F">
              <w:t xml:space="preserve">tīgu trans-taukskābju marķējamu </w:t>
            </w:r>
            <w:r w:rsidR="0069078F" w:rsidRPr="00D25E3F">
              <w:t xml:space="preserve">pārtikas produktiem, </w:t>
            </w:r>
            <w:r w:rsidR="0069078F">
              <w:t xml:space="preserve">kā arī to, ka </w:t>
            </w:r>
            <w:r w:rsidR="0069078F" w:rsidRPr="00D25E3F">
              <w:t>prasības attieksies uz nefasētiem pārtikas produktiem</w:t>
            </w:r>
            <w:r w:rsidR="0069078F">
              <w:t>, t.sk. ēdināšanas uzņēmumos, tad vienīgais veids, lai uzraudzītu, noteikumu projektā noteikto normu ieviešanu</w:t>
            </w:r>
            <w:r w:rsidR="008E1EE4">
              <w:t>,</w:t>
            </w:r>
            <w:r w:rsidR="0069078F">
              <w:t xml:space="preserve"> ir veikt </w:t>
            </w:r>
            <w:r w:rsidR="0069078F" w:rsidRPr="00D25E3F">
              <w:t xml:space="preserve">pārtikas produktu kontroles un </w:t>
            </w:r>
            <w:r w:rsidR="0069078F">
              <w:t xml:space="preserve">pārtikas produktu </w:t>
            </w:r>
            <w:r w:rsidR="0069078F" w:rsidRPr="00D25E3F">
              <w:t>paraugu laboratorisk</w:t>
            </w:r>
            <w:r w:rsidR="0069078F">
              <w:t xml:space="preserve">o testēšanu, kuru </w:t>
            </w:r>
            <w:r w:rsidR="006D5C18">
              <w:t xml:space="preserve">PVD </w:t>
            </w:r>
            <w:r w:rsidR="0069078F">
              <w:t xml:space="preserve">šobrīd neveic. </w:t>
            </w:r>
          </w:p>
          <w:p w:rsidR="000D0E50" w:rsidRDefault="004B3E3A" w:rsidP="00262F72">
            <w:pPr>
              <w:jc w:val="both"/>
            </w:pPr>
            <w:r w:rsidRPr="00EA597E">
              <w:t xml:space="preserve">Noteikumu projekts varētu radīt slogu apmēram 7800 Latvijas pārtikas aprites uzņēmumiem, kas, iespējams, pārtikas ražošanas un ēdienu gatavošanas procesā izmanto taukvielas, kas satur trans-taukskābes. Pēc </w:t>
            </w:r>
            <w:r w:rsidR="006D5C18">
              <w:t xml:space="preserve">PVD </w:t>
            </w:r>
            <w:r w:rsidRPr="00EA597E">
              <w:t>reģistra datiem, lielākā daļa no minētajiem (6536) ir sabiedriskās ēdināšanas uzņēmumi, kam noteikumu</w:t>
            </w:r>
            <w:r w:rsidR="009B5B30">
              <w:t xml:space="preserve"> projekta pieņemšanas gadījumā varētu tikt </w:t>
            </w:r>
            <w:r w:rsidRPr="00EA597E">
              <w:t>radīts finansiālais slogs, lai paškontroles ietvaros nodrošinātu trans-taukskābju procentuālā sastāva analīzes gatavajiem produktiem, kas atbilst noteikumu projekta 2.punktam. Viena produkta analīzes izmaksas</w:t>
            </w:r>
            <w:r w:rsidR="00262F72">
              <w:t xml:space="preserve"> (</w:t>
            </w:r>
            <w:r w:rsidR="00861CF4">
              <w:t xml:space="preserve">atbilstoši </w:t>
            </w:r>
            <w:r w:rsidR="00262F72" w:rsidRPr="00262F72">
              <w:t xml:space="preserve">2013.gada 17.septembra Ministru kabineta noteikumi Nr.882 </w:t>
            </w:r>
            <w:r w:rsidR="00262F72" w:rsidRPr="00262F72">
              <w:br/>
            </w:r>
            <w:r w:rsidR="00262F72">
              <w:t>„</w:t>
            </w:r>
            <w:r w:rsidR="00262F72" w:rsidRPr="00262F72">
              <w:t>Pārtikas drošības, dzīvnieku veselības un vides zinātniskā institūta "BIOR" valsts pārvaldes uzdevumu ietvaros veikto darbību cenrādis</w:t>
            </w:r>
            <w:r w:rsidR="00262F72">
              <w:t>”</w:t>
            </w:r>
            <w:r w:rsidR="00861CF4">
              <w:t xml:space="preserve"> pielikuma 2.punkta „Pārtikas, ūdens un vides izmeklējumi”2.1.5.3. apakšpunktā minētajam</w:t>
            </w:r>
            <w:r w:rsidR="00262F72">
              <w:t xml:space="preserve">) </w:t>
            </w:r>
            <w:r w:rsidRPr="00EA597E">
              <w:t>trans-t</w:t>
            </w:r>
            <w:r w:rsidR="00A608D7">
              <w:t xml:space="preserve">aukskābju noteikšanai </w:t>
            </w:r>
            <w:r w:rsidR="00861CF4">
              <w:t>ir 52,25</w:t>
            </w:r>
            <w:r w:rsidRPr="00EA597E">
              <w:t xml:space="preserve"> EUR</w:t>
            </w:r>
            <w:r w:rsidR="00861CF4">
              <w:t>, neieskaitot</w:t>
            </w:r>
            <w:r w:rsidR="00A608D7">
              <w:t xml:space="preserve"> PVN</w:t>
            </w:r>
            <w:r w:rsidR="007D5CCC">
              <w:t xml:space="preserve">. </w:t>
            </w:r>
            <w:r w:rsidRPr="00EA597E">
              <w:t xml:space="preserve">Pēc </w:t>
            </w:r>
            <w:r w:rsidR="00476218">
              <w:t>ZM</w:t>
            </w:r>
            <w:r w:rsidR="007D5CCC">
              <w:t xml:space="preserve"> rīcībā esošās informācijas, </w:t>
            </w:r>
            <w:r w:rsidRPr="00EA597E">
              <w:t>aptuvenais sadārdzinājums, aizvietojot trans-taukskābes saturošās taukvielas ar vesel</w:t>
            </w:r>
            <w:r w:rsidR="003626B0">
              <w:t>īgākām alternatīvām nav būtisks.</w:t>
            </w:r>
            <w:r w:rsidRPr="00EA597E">
              <w:t xml:space="preserve"> </w:t>
            </w:r>
            <w:r w:rsidR="003626B0">
              <w:t>Tas nozīmē, ka ieviešot ierobežojumus trans-taukskābju daudzuma</w:t>
            </w:r>
            <w:r w:rsidR="00D03C3B">
              <w:t>m,</w:t>
            </w:r>
            <w:r w:rsidR="003626B0">
              <w:t xml:space="preserve"> pārtikas produktu cenas varētu  nepal</w:t>
            </w:r>
            <w:r w:rsidR="00D03C3B">
              <w:t>ielināties, vai sadārdzinājums varētu būt nebūtisks</w:t>
            </w:r>
            <w:r w:rsidR="003626B0">
              <w:t>. Ņ</w:t>
            </w:r>
            <w:r w:rsidRPr="00EA597E">
              <w:t xml:space="preserve">emot vērā uzņēmumu ražošanas jaudas un apjomus, daļai pārtikas aprites uzņēmumu </w:t>
            </w:r>
            <w:r w:rsidR="003626B0">
              <w:t xml:space="preserve"> trans-taukskābju saturošu taukvielu aizvietošana</w:t>
            </w:r>
            <w:r w:rsidR="003626B0" w:rsidRPr="00EA597E">
              <w:t xml:space="preserve"> ar vesel</w:t>
            </w:r>
            <w:r w:rsidR="003626B0">
              <w:t>īgākām alternatīvām</w:t>
            </w:r>
            <w:r w:rsidR="003626B0" w:rsidRPr="00EA597E">
              <w:t xml:space="preserve"> </w:t>
            </w:r>
            <w:r w:rsidRPr="00EA597E">
              <w:t xml:space="preserve">varētu radīt papildus finansiālo slogu. Papildus slogu veidos receptūras pārstrādāšanas nepieciešamība, lai nodrošinātu atbilstošu produkta kvalitāti vai pat to uzlabotu, mainot produkta izejvielas. Tomēr </w:t>
            </w:r>
            <w:r w:rsidR="007030A4">
              <w:t xml:space="preserve">ZM </w:t>
            </w:r>
            <w:r w:rsidRPr="00EA597E">
              <w:t xml:space="preserve">rīcībā nav precīzu datu par uzņēmumiem, kas savā ražošanas procesā izmanto trans-taukskābes saturošas taukvielas vai ražo galaproduktus, kuru sastāvā ir trans-taukskābes. </w:t>
            </w:r>
          </w:p>
          <w:p w:rsidR="004C0B74" w:rsidRPr="00EA597E" w:rsidRDefault="004C0B74" w:rsidP="004C0B74">
            <w:pPr>
              <w:jc w:val="both"/>
            </w:pPr>
            <w:r w:rsidRPr="00EA597E">
              <w:t>Ja pieņem, ka Latvijā sabiedriskajā ēdināšanā darbojas 6536 uzņēmumi, kas savu produktu ražošanā (piemēram, katrs piecus produktus) izmanto eļļas vai taukus, kas tiek apstrādāti augstās temperatūrās, tad, pieņemot, ka vienu reizi gadā tiek izmeklēti gala produkti, izmaksas vienam uzņēmumam</w:t>
            </w:r>
            <w:r>
              <w:t xml:space="preserve"> varētu sasniegt</w:t>
            </w:r>
            <w:r w:rsidR="00057C8E">
              <w:t xml:space="preserve"> 5x52,25 =261.25</w:t>
            </w:r>
            <w:r w:rsidRPr="00EA597E">
              <w:t xml:space="preserve"> EUR, kur vienas analīzes cena ir</w:t>
            </w:r>
            <w:r w:rsidR="00057C8E">
              <w:t xml:space="preserve"> 52.25</w:t>
            </w:r>
            <w:r w:rsidRPr="00EA597E">
              <w:t xml:space="preserve"> EUR</w:t>
            </w:r>
            <w:r w:rsidR="007D5CCC">
              <w:t xml:space="preserve">. </w:t>
            </w:r>
            <w:r w:rsidRPr="00EA597E">
              <w:t>Visu sabiedriskajā ēdināšanā iesaistīto uzņēmumu izmaks</w:t>
            </w:r>
            <w:r w:rsidR="00057C8E">
              <w:t>as gadā tad varētu būt 6536x5x52.25</w:t>
            </w:r>
            <w:r w:rsidR="00057C8E" w:rsidRPr="00EA597E">
              <w:t xml:space="preserve"> </w:t>
            </w:r>
            <w:r w:rsidRPr="00EA597E">
              <w:t>=</w:t>
            </w:r>
            <w:r w:rsidR="00057C8E">
              <w:t xml:space="preserve"> 170 596, 25</w:t>
            </w:r>
            <w:r w:rsidRPr="00EA597E">
              <w:t>EUR.</w:t>
            </w:r>
          </w:p>
          <w:p w:rsidR="004C0B74" w:rsidRPr="00EA597E" w:rsidRDefault="004C0B74" w:rsidP="004C0B74">
            <w:pPr>
              <w:jc w:val="both"/>
            </w:pPr>
            <w:r w:rsidRPr="00EA597E">
              <w:t>Pieņemot, ka Latvijas pārtikas produktu ražošanas uzņēmumi ražošanas procesā izmanto izejvielas ar zināmu trans-taukskābju daudzumu (1264 uzņēmumi), tad ir jāpatērē darba stundas, kas nepieciešamas aprēķinu veikšanai un receptūru pārskatīšanai. Pieņemot, ka viena produkta receptūras pārskatīšanai patērē vienu darba dienu, t.i. 8 stundas un vienas stundas darba samaksa, rēķinot pēc minimālās algas, ir aptuveni 2.00 EUR, tad administratīvais slogs sastādīs 16.00 EUR vienam produktam. Ja prognozē, ka katrs uzņēmums ražo 3 produktus, tad administratīvais slogs būs 1264x3x16=60672.00 EUR</w:t>
            </w:r>
          </w:p>
          <w:p w:rsidR="00EC04CE" w:rsidRPr="00EA597E" w:rsidRDefault="004C0B74" w:rsidP="00057C8E">
            <w:pPr>
              <w:pStyle w:val="naiskr"/>
              <w:spacing w:before="0" w:beforeAutospacing="0" w:after="0" w:afterAutospacing="0"/>
              <w:jc w:val="both"/>
            </w:pPr>
            <w:r w:rsidRPr="00EA597E">
              <w:t>Pieņemot, ka Latvijas pārtikas produktu ražotāji iepērk izejvielas ar nezināmu trans-taukskābju daudzumu, tad ir jāparedz šādu izejvielu laboratoriskā kontrole. Ja pieņem, ka katrs produktu ražošanas uzņēmums (1264) iepērk 3 taukvielas ar nezināmu trans-taukskābju daudzumu, tad finansiālais slog</w:t>
            </w:r>
            <w:r w:rsidR="00057C8E">
              <w:t xml:space="preserve">s vienam uzņēmumam sastādīs 3x52.25=156.75 </w:t>
            </w:r>
            <w:r w:rsidRPr="00EA597E">
              <w:t>EUR. Finansiālais slogs visiem pārtikas ražošanas u</w:t>
            </w:r>
            <w:r w:rsidR="00057C8E">
              <w:t>zņēmumiem prognozējams 1264x3x52.25</w:t>
            </w:r>
            <w:r w:rsidRPr="00EA597E">
              <w:t>=</w:t>
            </w:r>
            <w:r w:rsidR="00057C8E">
              <w:t xml:space="preserve">198 132 </w:t>
            </w:r>
            <w:r w:rsidRPr="00EA597E">
              <w:t>E</w:t>
            </w:r>
            <w:r w:rsidR="00057C8E">
              <w:t>UR, kur viena parauga cena ir 52.25</w:t>
            </w:r>
            <w:r w:rsidRPr="00EA597E">
              <w:t xml:space="preserve"> EUR.</w:t>
            </w:r>
          </w:p>
        </w:tc>
      </w:tr>
      <w:tr w:rsidR="004B3E3A" w:rsidRPr="00EA597E" w:rsidTr="004B3E3A">
        <w:tc>
          <w:tcPr>
            <w:tcW w:w="250" w:type="pct"/>
            <w:tcBorders>
              <w:top w:val="outset" w:sz="6" w:space="0" w:color="auto"/>
              <w:right w:val="outset" w:sz="6" w:space="0" w:color="auto"/>
            </w:tcBorders>
          </w:tcPr>
          <w:p w:rsidR="004B3E3A" w:rsidRPr="00EA597E" w:rsidRDefault="004B3E3A" w:rsidP="00BF6E4D">
            <w:pPr>
              <w:pStyle w:val="NormalWeb"/>
              <w:spacing w:before="0" w:beforeAutospacing="0" w:after="0" w:afterAutospacing="0"/>
            </w:pPr>
            <w:r w:rsidRPr="00EA597E">
              <w:t>3.</w:t>
            </w:r>
          </w:p>
        </w:tc>
        <w:tc>
          <w:tcPr>
            <w:tcW w:w="1242" w:type="pct"/>
            <w:tcBorders>
              <w:top w:val="outset" w:sz="6" w:space="0" w:color="auto"/>
              <w:left w:val="outset" w:sz="6" w:space="0" w:color="auto"/>
              <w:right w:val="outset" w:sz="6" w:space="0" w:color="auto"/>
            </w:tcBorders>
          </w:tcPr>
          <w:p w:rsidR="004B3E3A" w:rsidRPr="00EA597E" w:rsidRDefault="004B3E3A" w:rsidP="00BF6E4D">
            <w:pPr>
              <w:pStyle w:val="NormalWeb"/>
              <w:spacing w:before="0" w:beforeAutospacing="0" w:after="0" w:afterAutospacing="0"/>
              <w:jc w:val="both"/>
            </w:pPr>
            <w:r w:rsidRPr="00EA597E">
              <w:t>Administratīvo izmaksu monetārs novērtējums</w:t>
            </w:r>
          </w:p>
        </w:tc>
        <w:tc>
          <w:tcPr>
            <w:tcW w:w="3508" w:type="pct"/>
            <w:tcBorders>
              <w:top w:val="outset" w:sz="6" w:space="0" w:color="auto"/>
              <w:left w:val="outset" w:sz="6" w:space="0" w:color="auto"/>
            </w:tcBorders>
          </w:tcPr>
          <w:p w:rsidR="004B3E3A" w:rsidRPr="00EA597E" w:rsidRDefault="004C0B74" w:rsidP="00EA597E">
            <w:pPr>
              <w:jc w:val="both"/>
            </w:pPr>
            <w:r>
              <w:t>Projekts šo jomu neskar.</w:t>
            </w:r>
            <w:r w:rsidR="004B3E3A" w:rsidRPr="00EA597E">
              <w:t xml:space="preserve"> </w:t>
            </w:r>
          </w:p>
        </w:tc>
      </w:tr>
      <w:tr w:rsidR="004B3E3A" w:rsidRPr="00EA597E" w:rsidTr="004B3E3A">
        <w:tc>
          <w:tcPr>
            <w:tcW w:w="250" w:type="pct"/>
            <w:tcBorders>
              <w:top w:val="outset" w:sz="6" w:space="0" w:color="auto"/>
              <w:bottom w:val="outset" w:sz="6" w:space="0" w:color="auto"/>
              <w:right w:val="outset" w:sz="6" w:space="0" w:color="auto"/>
            </w:tcBorders>
          </w:tcPr>
          <w:p w:rsidR="004B3E3A" w:rsidRPr="00EA597E" w:rsidRDefault="004B3E3A" w:rsidP="00BF6E4D">
            <w:pPr>
              <w:pStyle w:val="NormalWeb"/>
              <w:spacing w:before="0" w:beforeAutospacing="0" w:after="0" w:afterAutospacing="0"/>
            </w:pPr>
            <w:r w:rsidRPr="00EA597E">
              <w:t>4.</w:t>
            </w:r>
          </w:p>
        </w:tc>
        <w:tc>
          <w:tcPr>
            <w:tcW w:w="1242" w:type="pct"/>
            <w:tcBorders>
              <w:top w:val="outset" w:sz="6" w:space="0" w:color="auto"/>
              <w:left w:val="outset" w:sz="6" w:space="0" w:color="auto"/>
              <w:bottom w:val="outset" w:sz="6" w:space="0" w:color="auto"/>
              <w:right w:val="outset" w:sz="6" w:space="0" w:color="auto"/>
            </w:tcBorders>
          </w:tcPr>
          <w:p w:rsidR="004B3E3A" w:rsidRPr="00EA597E" w:rsidRDefault="004B3E3A" w:rsidP="00BF6E4D">
            <w:pPr>
              <w:jc w:val="both"/>
            </w:pPr>
            <w:r w:rsidRPr="00EA597E">
              <w:t>Cita informācija</w:t>
            </w:r>
          </w:p>
        </w:tc>
        <w:tc>
          <w:tcPr>
            <w:tcW w:w="3508" w:type="pct"/>
            <w:tcBorders>
              <w:top w:val="outset" w:sz="6" w:space="0" w:color="auto"/>
              <w:left w:val="outset" w:sz="6" w:space="0" w:color="auto"/>
              <w:bottom w:val="outset" w:sz="6" w:space="0" w:color="auto"/>
            </w:tcBorders>
          </w:tcPr>
          <w:p w:rsidR="004B3E3A" w:rsidRPr="00EA597E" w:rsidRDefault="004B3E3A" w:rsidP="00BF6E4D">
            <w:pPr>
              <w:widowControl w:val="0"/>
              <w:jc w:val="both"/>
            </w:pPr>
            <w:r w:rsidRPr="00EA597E">
              <w:t>Nav</w:t>
            </w:r>
          </w:p>
        </w:tc>
      </w:tr>
    </w:tbl>
    <w:p w:rsidR="00E571FE" w:rsidRPr="00EA597E" w:rsidRDefault="00E571FE" w:rsidP="00BF6E4D">
      <w:pPr>
        <w:jc w:val="both"/>
        <w:rPr>
          <w:sz w:val="18"/>
          <w:lang w:eastAsia="lv-LV"/>
        </w:rPr>
      </w:pPr>
    </w:p>
    <w:p w:rsidR="004B3E3A" w:rsidRDefault="004B3E3A" w:rsidP="00BF6E4D">
      <w:pPr>
        <w:jc w:val="both"/>
        <w:rPr>
          <w:sz w:val="18"/>
          <w:lang w:eastAsia="lv-LV"/>
        </w:rPr>
      </w:pPr>
    </w:p>
    <w:p w:rsidR="00EC04CE" w:rsidRPr="00EA597E" w:rsidRDefault="00EC04CE" w:rsidP="00BF6E4D">
      <w:pPr>
        <w:jc w:val="both"/>
        <w:rPr>
          <w:sz w:val="18"/>
          <w:lang w:eastAsia="lv-LV"/>
        </w:rPr>
      </w:pPr>
    </w:p>
    <w:tbl>
      <w:tblPr>
        <w:tblW w:w="0" w:type="auto"/>
        <w:tblInd w:w="-34" w:type="dxa"/>
        <w:tblLook w:val="04A0"/>
      </w:tblPr>
      <w:tblGrid>
        <w:gridCol w:w="2603"/>
        <w:gridCol w:w="1209"/>
        <w:gridCol w:w="1378"/>
        <w:gridCol w:w="1377"/>
        <w:gridCol w:w="1377"/>
        <w:gridCol w:w="1377"/>
      </w:tblGrid>
      <w:tr w:rsidR="004B3E3A" w:rsidRPr="00EA597E" w:rsidTr="00EC04CE">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jc w:val="center"/>
              <w:rPr>
                <w:b/>
                <w:color w:val="000000"/>
              </w:rPr>
            </w:pPr>
            <w:r w:rsidRPr="00EA597E">
              <w:rPr>
                <w:b/>
                <w:color w:val="000000"/>
              </w:rPr>
              <w:t>III. Tiesību akta projekta ietekme uz valsts budžetu un pašvaldību budžetiem</w:t>
            </w:r>
          </w:p>
        </w:tc>
      </w:tr>
      <w:tr w:rsidR="004B3E3A" w:rsidRPr="00EA597E" w:rsidTr="00EC04C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jc w:val="center"/>
              <w:rPr>
                <w:b/>
                <w:color w:val="000000"/>
              </w:rPr>
            </w:pPr>
            <w:r w:rsidRPr="00EA597E">
              <w:rPr>
                <w:b/>
                <w:color w:val="000000"/>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201</w:t>
            </w:r>
            <w:r w:rsidR="007D0F71">
              <w:rPr>
                <w:b/>
                <w:color w:val="000000"/>
              </w:rPr>
              <w:t>5</w:t>
            </w:r>
            <w:r w:rsidR="004B3E3A" w:rsidRPr="00EA597E">
              <w:rPr>
                <w:b/>
                <w:color w:val="000000"/>
              </w:rPr>
              <w:t>.</w:t>
            </w:r>
            <w:r w:rsidR="004B3E3A" w:rsidRPr="00EA597E">
              <w:rPr>
                <w:b/>
                <w:bCs/>
                <w:color w:val="000000"/>
                <w:lang w:eastAsia="lv-LV"/>
              </w:rPr>
              <w:t xml:space="preserve"> </w:t>
            </w:r>
            <w:r w:rsidR="004B3E3A" w:rsidRPr="00EA597E">
              <w:rPr>
                <w:b/>
                <w:color w:val="000000"/>
              </w:rPr>
              <w:t>gads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Turpmākie trīs gadi (</w:t>
            </w:r>
            <w:proofErr w:type="spellStart"/>
            <w:r w:rsidRPr="00EA597E">
              <w:rPr>
                <w:i/>
                <w:color w:val="000000"/>
              </w:rPr>
              <w:t>euro</w:t>
            </w:r>
            <w:proofErr w:type="spellEnd"/>
            <w:r w:rsidRPr="00EA597E">
              <w:rPr>
                <w:color w:val="000000"/>
              </w:rPr>
              <w:t>)</w:t>
            </w:r>
          </w:p>
        </w:tc>
      </w:tr>
      <w:tr w:rsidR="004B3E3A" w:rsidRPr="00EA597E" w:rsidTr="00EC04CE">
        <w:trPr>
          <w:trHeight w:val="315"/>
        </w:trPr>
        <w:tc>
          <w:tcPr>
            <w:tcW w:w="0" w:type="auto"/>
            <w:vMerge/>
            <w:tcBorders>
              <w:top w:val="nil"/>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201</w:t>
            </w:r>
            <w:r w:rsidR="007D0F71">
              <w:rPr>
                <w:b/>
                <w:color w:val="000000"/>
              </w:rPr>
              <w:t>6</w:t>
            </w:r>
            <w:r w:rsidR="004B3E3A" w:rsidRPr="00EA597E">
              <w:rPr>
                <w:b/>
                <w:color w:val="000000"/>
              </w:rPr>
              <w:t>.gads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w:t>
            </w:r>
            <w:r w:rsidR="007D0F71">
              <w:rPr>
                <w:b/>
                <w:color w:val="000000"/>
              </w:rPr>
              <w:t>17</w:t>
            </w:r>
            <w:r w:rsidR="004B3E3A" w:rsidRPr="00EA597E">
              <w:rPr>
                <w:b/>
                <w:color w:val="000000"/>
              </w:rPr>
              <w:t>.gads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w:t>
            </w:r>
            <w:r w:rsidR="007D0F71">
              <w:rPr>
                <w:b/>
                <w:color w:val="000000"/>
              </w:rPr>
              <w:t>18</w:t>
            </w:r>
            <w:r w:rsidR="004B3E3A" w:rsidRPr="00EA597E">
              <w:rPr>
                <w:b/>
                <w:color w:val="000000"/>
              </w:rPr>
              <w:t>.gads</w:t>
            </w:r>
          </w:p>
        </w:tc>
      </w:tr>
      <w:tr w:rsidR="004B3E3A" w:rsidRPr="00EA597E" w:rsidTr="00EC04CE">
        <w:trPr>
          <w:trHeight w:val="1984"/>
        </w:trPr>
        <w:tc>
          <w:tcPr>
            <w:tcW w:w="0" w:type="auto"/>
            <w:vMerge/>
            <w:tcBorders>
              <w:top w:val="nil"/>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saskaņā ar valsts budžetu kārtējam gadam</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izmaiņas kārtējā gadā, salīdzinot ar budžetu kārtējam gadam</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r>
      <w:tr w:rsidR="004B3E3A" w:rsidRPr="004F3D92" w:rsidTr="00EC04CE">
        <w:trPr>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4F3D92" w:rsidRDefault="004B3E3A" w:rsidP="00BF6E4D">
            <w:pPr>
              <w:rPr>
                <w:b/>
                <w:color w:val="000000"/>
              </w:rPr>
            </w:pPr>
            <w:r w:rsidRPr="004F3D92">
              <w:rPr>
                <w:b/>
                <w:color w:val="000000"/>
              </w:rPr>
              <w:t>1. Budžeta ieņēmumi:</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D1DAB" w:rsidP="00BF6E4D">
            <w:pPr>
              <w:jc w:val="center"/>
              <w:rPr>
                <w:b/>
                <w:color w:val="000000"/>
              </w:rPr>
            </w:pPr>
            <w:r>
              <w:rPr>
                <w:b/>
                <w:bCs/>
                <w:sz w:val="22"/>
                <w:szCs w:val="28"/>
              </w:rPr>
              <w:t>  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r>
      <w:tr w:rsidR="004B3E3A" w:rsidRPr="00EA597E" w:rsidTr="00EC04C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1.1.</w:t>
            </w:r>
            <w:r w:rsidRPr="00EA597E">
              <w:rPr>
                <w:color w:val="000000"/>
                <w:lang w:eastAsia="lv-LV"/>
              </w:rPr>
              <w:t xml:space="preserve"> valsts pamatbudžets, tai skaitā</w:t>
            </w:r>
            <w:r w:rsidRPr="00EA597E">
              <w:rPr>
                <w:color w:val="000000"/>
              </w:rPr>
              <w:t xml:space="preserve"> ieņēmumi no maksas pakalpojumiem un citi pašu ieņēmumi</w:t>
            </w:r>
          </w:p>
        </w:tc>
        <w:tc>
          <w:tcPr>
            <w:tcW w:w="0" w:type="auto"/>
            <w:tcBorders>
              <w:top w:val="nil"/>
              <w:left w:val="nil"/>
              <w:bottom w:val="single" w:sz="4" w:space="0" w:color="auto"/>
              <w:right w:val="single" w:sz="4" w:space="0" w:color="auto"/>
            </w:tcBorders>
            <w:shd w:val="clear" w:color="auto" w:fill="auto"/>
            <w:vAlign w:val="center"/>
            <w:hideMark/>
          </w:tcPr>
          <w:p w:rsidR="00A45B0A" w:rsidRDefault="002D1DAB" w:rsidP="00A45B0A">
            <w:pPr>
              <w:rPr>
                <w:szCs w:val="28"/>
              </w:rPr>
            </w:pPr>
            <w:r>
              <w:rPr>
                <w:szCs w:val="28"/>
              </w:rPr>
              <w:t> </w:t>
            </w:r>
          </w:p>
          <w:p w:rsidR="002D1DAB" w:rsidRPr="00D379F2" w:rsidRDefault="002D1DAB" w:rsidP="00D379F2">
            <w:pPr>
              <w:jc w:val="center"/>
              <w:rPr>
                <w:szCs w:val="28"/>
              </w:rPr>
            </w:pPr>
            <w:r>
              <w:rPr>
                <w:szCs w:val="28"/>
              </w:rPr>
              <w:t>0</w:t>
            </w:r>
          </w:p>
          <w:p w:rsidR="00D379F2" w:rsidRPr="00D379F2" w:rsidRDefault="00D379F2" w:rsidP="00D379F2">
            <w:pPr>
              <w:jc w:val="center"/>
              <w:rPr>
                <w:szCs w:val="28"/>
              </w:rPr>
            </w:pPr>
          </w:p>
          <w:p w:rsidR="004B3E3A" w:rsidRDefault="002D1DAB" w:rsidP="00D379F2">
            <w:pPr>
              <w:jc w:val="center"/>
              <w:rPr>
                <w:szCs w:val="28"/>
              </w:rPr>
            </w:pPr>
            <w:r>
              <w:rPr>
                <w:szCs w:val="28"/>
              </w:rPr>
              <w:t> </w:t>
            </w:r>
          </w:p>
          <w:p w:rsidR="002D1DAB" w:rsidRPr="00EA597E" w:rsidRDefault="002D1DAB" w:rsidP="00A45B0A">
            <w:pPr>
              <w:jc w:val="center"/>
              <w:rPr>
                <w:color w:val="000000"/>
              </w:rPr>
            </w:pPr>
            <w:r>
              <w:rPr>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1.2. valsts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1.3.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4F3D92" w:rsidRDefault="0064317E" w:rsidP="00BF6E4D">
            <w:pPr>
              <w:rPr>
                <w:b/>
                <w:color w:val="000000"/>
              </w:rPr>
            </w:pPr>
            <w:r w:rsidRPr="004F3D92">
              <w:rPr>
                <w:b/>
                <w:color w:val="000000"/>
              </w:rPr>
              <w:t>2. Budžeta izdevumi:</w:t>
            </w:r>
          </w:p>
        </w:tc>
        <w:tc>
          <w:tcPr>
            <w:tcW w:w="0" w:type="auto"/>
            <w:tcBorders>
              <w:top w:val="nil"/>
              <w:left w:val="nil"/>
              <w:bottom w:val="single" w:sz="4" w:space="0" w:color="auto"/>
              <w:right w:val="single" w:sz="4" w:space="0" w:color="auto"/>
            </w:tcBorders>
            <w:shd w:val="clear" w:color="auto" w:fill="auto"/>
            <w:vAlign w:val="center"/>
            <w:hideMark/>
          </w:tcPr>
          <w:p w:rsidR="002D1DAB" w:rsidRPr="00D379F2" w:rsidRDefault="002D1DAB" w:rsidP="00A45B0A">
            <w:pPr>
              <w:jc w:val="center"/>
              <w:rPr>
                <w:b/>
                <w:color w:val="000000"/>
              </w:rPr>
            </w:pPr>
            <w:r>
              <w:rPr>
                <w:b/>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477C2">
            <w:pPr>
              <w:jc w:val="center"/>
              <w:rPr>
                <w:b/>
                <w:color w:val="000000"/>
              </w:rPr>
            </w:pP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CA226C">
            <w:pPr>
              <w:jc w:val="center"/>
              <w:rPr>
                <w:b/>
                <w:color w:val="000000"/>
              </w:rPr>
            </w:pPr>
            <w:r>
              <w:rPr>
                <w:b/>
                <w:color w:val="000000"/>
                <w:lang w:eastAsia="lv-LV"/>
              </w:rPr>
              <w:t>63 056</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EA597E" w:rsidRDefault="0064317E" w:rsidP="00BF6E4D">
            <w:pPr>
              <w:rPr>
                <w:color w:val="000000"/>
              </w:rPr>
            </w:pPr>
            <w:r w:rsidRPr="00EA597E">
              <w:rPr>
                <w:color w:val="000000"/>
              </w:rPr>
              <w:t>2.1. valsts pamatbudžets</w:t>
            </w:r>
          </w:p>
        </w:tc>
        <w:tc>
          <w:tcPr>
            <w:tcW w:w="0" w:type="auto"/>
            <w:tcBorders>
              <w:top w:val="nil"/>
              <w:left w:val="nil"/>
              <w:bottom w:val="single" w:sz="4" w:space="0" w:color="auto"/>
              <w:right w:val="single" w:sz="4" w:space="0" w:color="auto"/>
            </w:tcBorders>
            <w:shd w:val="clear" w:color="auto" w:fill="auto"/>
            <w:vAlign w:val="center"/>
            <w:hideMark/>
          </w:tcPr>
          <w:p w:rsidR="0064317E" w:rsidRDefault="002D1DAB" w:rsidP="00BF6E4D">
            <w:pPr>
              <w:jc w:val="center"/>
              <w:rPr>
                <w:szCs w:val="28"/>
              </w:rPr>
            </w:pPr>
            <w:r>
              <w:rPr>
                <w:szCs w:val="28"/>
              </w:rPr>
              <w:t> </w:t>
            </w:r>
          </w:p>
          <w:p w:rsidR="002D1DAB" w:rsidRPr="00EA597E" w:rsidRDefault="002D1DAB" w:rsidP="00BF6E4D">
            <w:pPr>
              <w:jc w:val="center"/>
              <w:rPr>
                <w:color w:val="000000"/>
              </w:rPr>
            </w:pPr>
            <w:r>
              <w:rPr>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color w:val="000000"/>
              </w:rPr>
            </w:pPr>
            <w:r w:rsidRPr="00D746C1">
              <w:rPr>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6B24DF" w:rsidRDefault="006B24DF" w:rsidP="00CA226C">
            <w:pPr>
              <w:jc w:val="center"/>
              <w:rPr>
                <w:color w:val="000000"/>
              </w:rPr>
            </w:pPr>
            <w:r w:rsidRPr="006B24DF">
              <w:rPr>
                <w:color w:val="000000"/>
                <w:lang w:eastAsia="lv-LV"/>
              </w:rPr>
              <w:t>63 056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2.2. valsts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2.3.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4F3D92" w:rsidRDefault="0064317E" w:rsidP="00BF6E4D">
            <w:pPr>
              <w:rPr>
                <w:b/>
                <w:color w:val="000000"/>
              </w:rPr>
            </w:pPr>
            <w:r w:rsidRPr="004F3D92">
              <w:rPr>
                <w:b/>
                <w:color w:val="000000"/>
              </w:rPr>
              <w:t>3. Finansiālā ietekme:</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b/>
                <w:color w:val="000000"/>
              </w:rPr>
            </w:pPr>
            <w:r>
              <w:rPr>
                <w:b/>
                <w:bCs/>
                <w:color w:val="000000"/>
                <w:lang w:eastAsia="lv-LV"/>
              </w:rPr>
              <w:t>-</w:t>
            </w: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CA226C">
            <w:pPr>
              <w:jc w:val="center"/>
              <w:rPr>
                <w:b/>
                <w:color w:val="000000"/>
              </w:rPr>
            </w:pPr>
            <w:r>
              <w:rPr>
                <w:b/>
                <w:bCs/>
                <w:color w:val="000000"/>
                <w:lang w:eastAsia="lv-LV"/>
              </w:rPr>
              <w:t>-</w:t>
            </w:r>
            <w:r w:rsidR="006B24DF">
              <w:rPr>
                <w:b/>
                <w:color w:val="000000"/>
                <w:lang w:eastAsia="lv-LV"/>
              </w:rPr>
              <w:t>63 056</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EA597E" w:rsidRDefault="0064317E" w:rsidP="00BF6E4D">
            <w:pPr>
              <w:rPr>
                <w:color w:val="000000"/>
              </w:rPr>
            </w:pPr>
            <w:r w:rsidRPr="00EA597E">
              <w:rPr>
                <w:color w:val="000000"/>
              </w:rPr>
              <w:t>3.1. valsts pamatbudžets</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color w:val="000000"/>
              </w:rPr>
            </w:pPr>
            <w:r w:rsidRPr="00D746C1">
              <w:rPr>
                <w:bCs/>
                <w:color w:val="000000"/>
                <w:lang w:eastAsia="lv-LV"/>
              </w:rPr>
              <w:t>-</w:t>
            </w:r>
            <w:r w:rsidRPr="00D746C1">
              <w:rPr>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6B24DF" w:rsidRDefault="0064317E" w:rsidP="00CA226C">
            <w:pPr>
              <w:jc w:val="center"/>
              <w:rPr>
                <w:color w:val="000000"/>
              </w:rPr>
            </w:pPr>
            <w:r w:rsidRPr="006B24DF">
              <w:rPr>
                <w:bCs/>
                <w:color w:val="000000"/>
                <w:lang w:eastAsia="lv-LV"/>
              </w:rPr>
              <w:t>-</w:t>
            </w:r>
            <w:r w:rsidR="006B24DF" w:rsidRPr="006B24DF">
              <w:rPr>
                <w:color w:val="000000"/>
                <w:lang w:eastAsia="lv-LV"/>
              </w:rPr>
              <w:t>63 056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3.2.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D746C1" w:rsidRDefault="004B3E3A" w:rsidP="00BF6E4D">
            <w:pPr>
              <w:jc w:val="center"/>
              <w:rPr>
                <w:color w:val="000000"/>
              </w:rPr>
            </w:pPr>
            <w:r w:rsidRPr="00D746C1">
              <w:rPr>
                <w:color w:val="000000"/>
                <w:lang w:eastAsia="lv-LV"/>
              </w:rPr>
              <w:t> </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3.3.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r>
      <w:tr w:rsidR="004B3E3A" w:rsidRPr="00EA597E" w:rsidTr="00EC04C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4F3D92">
              <w:rPr>
                <w:b/>
                <w:color w:val="000000"/>
              </w:rPr>
              <w:t xml:space="preserve">4. Finanšu līdzekļi papildu </w:t>
            </w:r>
            <w:r w:rsidRPr="004F3D92">
              <w:rPr>
                <w:b/>
                <w:color w:val="000000"/>
                <w:lang w:eastAsia="lv-LV"/>
              </w:rPr>
              <w:t>izdevumu</w:t>
            </w:r>
            <w:r w:rsidRPr="004F3D92">
              <w:rPr>
                <w:b/>
                <w:color w:val="000000"/>
              </w:rPr>
              <w:t xml:space="preserve"> finansēšanai</w:t>
            </w:r>
            <w:r w:rsidRPr="00EA597E">
              <w:rPr>
                <w:color w:val="000000"/>
              </w:rPr>
              <w:t xml:space="preserve"> (kompensējošu izdevumu samazinājumu norāda ar "+" zīmi)</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X</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r>
      <w:tr w:rsidR="004F3D92"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3D92" w:rsidRPr="004F3D92" w:rsidRDefault="004F3D92" w:rsidP="00BF6E4D">
            <w:pPr>
              <w:rPr>
                <w:b/>
                <w:color w:val="000000"/>
              </w:rPr>
            </w:pPr>
            <w:r w:rsidRPr="004F3D92">
              <w:rPr>
                <w:b/>
                <w:color w:val="000000"/>
              </w:rPr>
              <w:t>5. Precizēta finansiālā ietekme: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3D92" w:rsidRPr="00EA597E" w:rsidRDefault="004F3D92" w:rsidP="00BF6E4D">
            <w:pPr>
              <w:jc w:val="center"/>
              <w:rPr>
                <w:color w:val="000000"/>
              </w:rPr>
            </w:pPr>
            <w:r w:rsidRPr="00EA597E">
              <w:rPr>
                <w:color w:val="000000"/>
              </w:rPr>
              <w:t>X</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4F3D92" w:rsidP="004F3D92">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6B24DF" w:rsidP="004F3D92">
            <w:pPr>
              <w:jc w:val="center"/>
              <w:rPr>
                <w:b/>
                <w:color w:val="000000"/>
              </w:rPr>
            </w:pPr>
            <w:r>
              <w:rPr>
                <w:b/>
                <w:bCs/>
                <w:color w:val="000000"/>
                <w:lang w:eastAsia="lv-LV"/>
              </w:rPr>
              <w:t>-</w:t>
            </w: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2536EE" w:rsidP="0064317E">
            <w:pPr>
              <w:jc w:val="center"/>
              <w:rPr>
                <w:b/>
                <w:color w:val="000000"/>
              </w:rPr>
            </w:pPr>
            <w:r>
              <w:rPr>
                <w:b/>
                <w:bCs/>
                <w:color w:val="000000"/>
                <w:lang w:eastAsia="lv-LV"/>
              </w:rPr>
              <w:t>-</w:t>
            </w:r>
            <w:r w:rsidR="006B24DF">
              <w:rPr>
                <w:b/>
                <w:color w:val="000000"/>
                <w:lang w:eastAsia="lv-LV"/>
              </w:rPr>
              <w:t>63 056</w:t>
            </w:r>
          </w:p>
        </w:tc>
      </w:tr>
      <w:tr w:rsidR="004F3D92"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3D92" w:rsidRPr="00EA597E" w:rsidRDefault="004F3D92" w:rsidP="00BF6E4D">
            <w:pPr>
              <w:rPr>
                <w:color w:val="000000"/>
              </w:rPr>
            </w:pPr>
            <w:r w:rsidRPr="00EA597E">
              <w:rPr>
                <w:color w:val="000000"/>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D92" w:rsidRPr="00EA597E" w:rsidRDefault="004F3D92" w:rsidP="00BF6E4D">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EA597E" w:rsidRDefault="004F3D92" w:rsidP="00BF6E4D">
            <w:pPr>
              <w:jc w:val="center"/>
              <w:rPr>
                <w:b/>
                <w:color w:val="000000"/>
              </w:rPr>
            </w:pPr>
            <w:r>
              <w:rPr>
                <w:b/>
                <w:bCs/>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EA597E" w:rsidRDefault="004F3D92" w:rsidP="004F3D92">
            <w:pPr>
              <w:jc w:val="center"/>
              <w:rPr>
                <w:b/>
                <w:color w:val="000000"/>
              </w:rPr>
            </w:pPr>
            <w:r>
              <w:rPr>
                <w:b/>
                <w:bCs/>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64317E" w:rsidRDefault="006B24DF" w:rsidP="004F3D92">
            <w:pPr>
              <w:jc w:val="center"/>
              <w:rPr>
                <w:color w:val="000000"/>
              </w:rPr>
            </w:pPr>
            <w:r w:rsidRPr="00D746C1">
              <w:rPr>
                <w:bCs/>
                <w:color w:val="000000"/>
                <w:lang w:eastAsia="lv-LV"/>
              </w:rPr>
              <w:t>-</w:t>
            </w:r>
            <w:r w:rsidRPr="00D746C1">
              <w:rPr>
                <w:color w:val="000000"/>
                <w:lang w:eastAsia="lv-LV"/>
              </w:rPr>
              <w:t>86 786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6B24DF" w:rsidRDefault="002536EE" w:rsidP="0064317E">
            <w:pPr>
              <w:jc w:val="center"/>
              <w:rPr>
                <w:color w:val="000000"/>
              </w:rPr>
            </w:pPr>
            <w:r w:rsidRPr="006B24DF">
              <w:rPr>
                <w:bCs/>
                <w:color w:val="000000"/>
                <w:lang w:eastAsia="lv-LV"/>
              </w:rPr>
              <w:t>-</w:t>
            </w:r>
            <w:r w:rsidR="006B24DF" w:rsidRPr="006B24DF">
              <w:rPr>
                <w:color w:val="000000"/>
                <w:lang w:eastAsia="lv-LV"/>
              </w:rPr>
              <w:t>63 056</w:t>
            </w:r>
          </w:p>
        </w:tc>
      </w:tr>
      <w:tr w:rsidR="004B3E3A"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611D" w:rsidRPr="00EA597E" w:rsidTr="00EC04C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611D" w:rsidRDefault="004B611D" w:rsidP="00BF6E4D">
            <w:pPr>
              <w:rPr>
                <w:color w:val="000000"/>
              </w:rPr>
            </w:pPr>
            <w:r w:rsidRPr="004F3D92">
              <w:rPr>
                <w:b/>
                <w:color w:val="000000"/>
              </w:rPr>
              <w:t xml:space="preserve">6. Detalizēts ieņēmumu un </w:t>
            </w:r>
            <w:r w:rsidRPr="004F3D92">
              <w:rPr>
                <w:b/>
                <w:color w:val="000000"/>
                <w:lang w:eastAsia="lv-LV"/>
              </w:rPr>
              <w:t>izdevumu</w:t>
            </w:r>
            <w:r w:rsidRPr="004F3D92">
              <w:rPr>
                <w:b/>
                <w:color w:val="000000"/>
              </w:rPr>
              <w:t xml:space="preserve"> aprēķins</w:t>
            </w:r>
            <w:r w:rsidRPr="00EA597E">
              <w:rPr>
                <w:color w:val="000000"/>
              </w:rPr>
              <w:t xml:space="preserve"> </w:t>
            </w:r>
          </w:p>
          <w:p w:rsidR="004B611D" w:rsidRPr="00EA597E" w:rsidRDefault="004B611D" w:rsidP="00BF6E4D">
            <w:pPr>
              <w:rPr>
                <w:color w:val="000000"/>
              </w:rPr>
            </w:pPr>
            <w:r w:rsidRPr="00EA597E">
              <w:rPr>
                <w:color w:val="000000"/>
              </w:rPr>
              <w:t>(ja nepieciešams, detalizētu ieņēmumu un izdevumu aprēķinu var pievienot anotācijas pielikumā):</w:t>
            </w:r>
          </w:p>
        </w:tc>
        <w:tc>
          <w:tcPr>
            <w:tcW w:w="0" w:type="auto"/>
            <w:tcBorders>
              <w:top w:val="nil"/>
              <w:left w:val="nil"/>
              <w:bottom w:val="single" w:sz="4" w:space="0" w:color="auto"/>
              <w:right w:val="single" w:sz="4" w:space="0" w:color="auto"/>
            </w:tcBorders>
            <w:shd w:val="clear" w:color="auto" w:fill="auto"/>
            <w:vAlign w:val="center"/>
            <w:hideMark/>
          </w:tcPr>
          <w:p w:rsidR="004B611D" w:rsidRPr="00EA597E" w:rsidRDefault="004B611D"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r>
      <w:tr w:rsidR="004B611D"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611D" w:rsidRPr="00EA597E" w:rsidRDefault="004B611D" w:rsidP="00BF6E4D">
            <w:pPr>
              <w:rPr>
                <w:color w:val="000000"/>
              </w:rPr>
            </w:pPr>
            <w:r w:rsidRPr="00EA597E">
              <w:rPr>
                <w:color w:val="000000"/>
              </w:rPr>
              <w:t>6.1. detalizēts ieņēmumu aprēķins</w:t>
            </w:r>
          </w:p>
        </w:tc>
        <w:tc>
          <w:tcPr>
            <w:tcW w:w="0" w:type="auto"/>
            <w:tcBorders>
              <w:top w:val="nil"/>
              <w:left w:val="nil"/>
              <w:bottom w:val="single" w:sz="4" w:space="0" w:color="auto"/>
              <w:right w:val="single" w:sz="4" w:space="0" w:color="auto"/>
            </w:tcBorders>
            <w:shd w:val="clear" w:color="auto" w:fill="auto"/>
            <w:vAlign w:val="center"/>
            <w:hideMark/>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r>
      <w:tr w:rsidR="002C1F32" w:rsidRPr="00057C8E" w:rsidTr="00EC04CE">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1F32" w:rsidRPr="00057C8E" w:rsidRDefault="002C1F32" w:rsidP="003F7F2F">
            <w:pPr>
              <w:rPr>
                <w:b/>
                <w:color w:val="000000"/>
                <w:lang w:eastAsia="lv-LV"/>
              </w:rPr>
            </w:pPr>
            <w:r w:rsidRPr="00057C8E">
              <w:rPr>
                <w:b/>
                <w:color w:val="000000"/>
              </w:rPr>
              <w:t xml:space="preserve">6.2. </w:t>
            </w:r>
            <w:r w:rsidRPr="00057C8E">
              <w:rPr>
                <w:b/>
                <w:color w:val="000000"/>
                <w:lang w:eastAsia="lv-LV"/>
              </w:rPr>
              <w:t>Detalizēts</w:t>
            </w:r>
            <w:r w:rsidRPr="00057C8E">
              <w:rPr>
                <w:b/>
                <w:color w:val="000000"/>
              </w:rPr>
              <w:t xml:space="preserve"> izdevumu aprēķins</w:t>
            </w:r>
            <w:r w:rsidR="003F7F2F" w:rsidRPr="00057C8E">
              <w:rPr>
                <w:b/>
                <w:color w:val="000000"/>
              </w:rPr>
              <w:t xml:space="preserve"> (</w:t>
            </w:r>
            <w:r w:rsidR="003F7F2F" w:rsidRPr="00057C8E">
              <w:rPr>
                <w:b/>
              </w:rPr>
              <w:t>EKK 1000 - 49317 EUR</w:t>
            </w:r>
            <w:r w:rsidR="00A16A3A" w:rsidRPr="00057C8E">
              <w:rPr>
                <w:b/>
              </w:rPr>
              <w:t xml:space="preserve"> (t.sk.EKK1100 – 39 362 EUR, EKK 1200 – 9 955 EUR)</w:t>
            </w:r>
            <w:r w:rsidR="003F7F2F" w:rsidRPr="00057C8E">
              <w:rPr>
                <w:b/>
              </w:rPr>
              <w:t>, EKK 2000 – 9 114 EUR, EKK 50</w:t>
            </w:r>
            <w:r w:rsidR="004E2B4F">
              <w:rPr>
                <w:b/>
              </w:rPr>
              <w:t>00 – 23 130 EUR, EKK 7350 – 5225</w:t>
            </w:r>
            <w:r w:rsidR="003F7F2F" w:rsidRPr="00057C8E">
              <w:rPr>
                <w:b/>
              </w:rPr>
              <w:t xml:space="preserve"> EUR)</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845502" w:rsidP="00EF6D54">
            <w:pPr>
              <w:jc w:val="center"/>
              <w:rPr>
                <w:b/>
                <w:color w:val="000000"/>
                <w:lang w:eastAsia="lv-LV"/>
              </w:rPr>
            </w:pPr>
            <w:r w:rsidRPr="00057C8E">
              <w:rPr>
                <w:b/>
                <w:color w:val="000000"/>
                <w:lang w:eastAsia="lv-LV"/>
              </w:rPr>
              <w:t>86 786</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6B24DF" w:rsidP="00EF6D54">
            <w:pPr>
              <w:jc w:val="center"/>
              <w:rPr>
                <w:b/>
                <w:color w:val="000000"/>
                <w:lang w:eastAsia="lv-LV"/>
              </w:rPr>
            </w:pPr>
            <w:r>
              <w:rPr>
                <w:b/>
                <w:color w:val="000000"/>
                <w:lang w:eastAsia="lv-LV"/>
              </w:rPr>
              <w:t>63 056</w:t>
            </w:r>
          </w:p>
        </w:tc>
      </w:tr>
      <w:tr w:rsidR="002C1F32" w:rsidRPr="00EA597E" w:rsidTr="00EC04CE">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1F32" w:rsidRDefault="004B611D" w:rsidP="00BF6E4D">
            <w:pPr>
              <w:rPr>
                <w:color w:val="000000"/>
                <w:u w:val="single"/>
                <w:lang w:eastAsia="lv-LV"/>
              </w:rPr>
            </w:pPr>
            <w:r w:rsidRPr="004B611D">
              <w:rPr>
                <w:color w:val="000000"/>
                <w:u w:val="single"/>
                <w:lang w:eastAsia="lv-LV"/>
              </w:rPr>
              <w:t xml:space="preserve">6.2.1. </w:t>
            </w:r>
            <w:r w:rsidRPr="00A608D7">
              <w:rPr>
                <w:b/>
                <w:color w:val="000000"/>
                <w:u w:val="single"/>
                <w:lang w:eastAsia="lv-LV"/>
              </w:rPr>
              <w:t>Izdevumi papildus veicamo pārbaužu nodrošināšanai</w:t>
            </w:r>
            <w:r w:rsidR="003F7F2F" w:rsidRPr="00A608D7">
              <w:rPr>
                <w:b/>
                <w:color w:val="000000"/>
                <w:u w:val="single"/>
                <w:lang w:eastAsia="lv-LV"/>
              </w:rPr>
              <w:t xml:space="preserve"> Pārtikas un veterinārajam dienestam</w:t>
            </w:r>
            <w:r w:rsidRPr="004B611D">
              <w:rPr>
                <w:color w:val="000000"/>
                <w:u w:val="single"/>
                <w:lang w:eastAsia="lv-LV"/>
              </w:rPr>
              <w:t xml:space="preserve"> </w:t>
            </w:r>
            <w:r w:rsidRPr="00A471BC">
              <w:rPr>
                <w:color w:val="000000"/>
                <w:lang w:eastAsia="lv-LV"/>
              </w:rPr>
              <w:t>(detalizētu izdevumu atšifrējumu skatīt pielikumā Nr.1)</w:t>
            </w:r>
            <w:r w:rsidR="00A471BC">
              <w:rPr>
                <w:color w:val="000000"/>
                <w:lang w:eastAsia="lv-LV"/>
              </w:rPr>
              <w:t>:</w:t>
            </w:r>
          </w:p>
          <w:p w:rsidR="004B611D" w:rsidRPr="004B611D" w:rsidRDefault="004B611D" w:rsidP="004B611D">
            <w:pPr>
              <w:jc w:val="both"/>
            </w:pPr>
            <w:r>
              <w:rPr>
                <w:color w:val="000000"/>
                <w:lang w:eastAsia="lv-LV"/>
              </w:rPr>
              <w:t>6.2.1.1.</w:t>
            </w:r>
            <w:r w:rsidRPr="004B611D">
              <w:rPr>
                <w:szCs w:val="28"/>
              </w:rPr>
              <w:t xml:space="preserve">Atlīdzība </w:t>
            </w:r>
            <w:r w:rsidRPr="004B611D">
              <w:t>papildus pārbaužu nodrošināšanai, EKK 1000;</w:t>
            </w:r>
          </w:p>
          <w:p w:rsidR="004B611D" w:rsidRDefault="004B611D" w:rsidP="004B611D">
            <w:pPr>
              <w:jc w:val="both"/>
            </w:pPr>
            <w:r w:rsidRPr="004B611D">
              <w:t>6.2.1.2.Izdevumi inspektoru ikdienas darba nodrošināšanai, EKK 2000</w:t>
            </w:r>
            <w:r w:rsidR="00813DE9">
              <w:t>;</w:t>
            </w:r>
          </w:p>
          <w:p w:rsidR="00813DE9" w:rsidRDefault="00813DE9" w:rsidP="004B611D">
            <w:pPr>
              <w:jc w:val="both"/>
            </w:pPr>
            <w:r>
              <w:t>6.2.1.</w:t>
            </w:r>
            <w:r w:rsidRPr="00813DE9">
              <w:t>3.Izdevumi distances infrasarkano termometru iegādei</w:t>
            </w:r>
            <w:r>
              <w:t>, EKK 2000;</w:t>
            </w:r>
          </w:p>
          <w:p w:rsidR="00813DE9" w:rsidRDefault="00813DE9" w:rsidP="004B611D">
            <w:pPr>
              <w:jc w:val="both"/>
            </w:pPr>
            <w:r>
              <w:t>6.2.1.4.</w:t>
            </w:r>
            <w:r w:rsidRPr="00813DE9">
              <w:t>Izdevumi automašīnu iegādei</w:t>
            </w:r>
            <w:r>
              <w:t>, EKK 5000;</w:t>
            </w:r>
          </w:p>
          <w:p w:rsidR="00813DE9" w:rsidRPr="00E17E66" w:rsidRDefault="00813DE9" w:rsidP="004B611D">
            <w:pPr>
              <w:jc w:val="both"/>
            </w:pPr>
            <w:r>
              <w:t>6.2.1.5.</w:t>
            </w:r>
            <w:r w:rsidRPr="00496A88">
              <w:rPr>
                <w:sz w:val="28"/>
                <w:szCs w:val="28"/>
              </w:rPr>
              <w:t xml:space="preserve"> </w:t>
            </w:r>
            <w:r w:rsidRPr="00813DE9">
              <w:t xml:space="preserve">Planšetdatoru iegāde pārbaudes </w:t>
            </w:r>
            <w:r w:rsidRPr="00E17E66">
              <w:t>protokolu ievadīšanai</w:t>
            </w:r>
            <w:r w:rsidR="00A471BC">
              <w:t>, EKK 5000</w:t>
            </w:r>
            <w:r w:rsidRPr="00E17E66">
              <w:t>.</w:t>
            </w:r>
          </w:p>
          <w:p w:rsidR="004B611D" w:rsidRPr="00E17E66" w:rsidRDefault="00E17E66" w:rsidP="00057C8E">
            <w:pPr>
              <w:jc w:val="both"/>
              <w:rPr>
                <w:i/>
                <w:sz w:val="28"/>
                <w:szCs w:val="28"/>
              </w:rPr>
            </w:pPr>
            <w:r w:rsidRPr="007D5CCC">
              <w:rPr>
                <w:b/>
                <w:u w:val="single"/>
              </w:rPr>
              <w:t>6.2.2.Izdevumi laboratorisko izmeklējumu</w:t>
            </w:r>
            <w:r w:rsidR="00057C8E">
              <w:rPr>
                <w:b/>
                <w:u w:val="single"/>
              </w:rPr>
              <w:t xml:space="preserve"> </w:t>
            </w:r>
            <w:r w:rsidRPr="007D5CCC">
              <w:rPr>
                <w:b/>
                <w:u w:val="single"/>
              </w:rPr>
              <w:t>veikšanai papildus prasību nodrošināšanai</w:t>
            </w:r>
            <w:r w:rsidRPr="007D5CCC">
              <w:rPr>
                <w:b/>
              </w:rPr>
              <w:t xml:space="preserve"> </w:t>
            </w:r>
            <w:r w:rsidR="00057C8E" w:rsidRPr="00057C8E">
              <w:rPr>
                <w:b/>
                <w:u w:val="single"/>
              </w:rPr>
              <w:t>(100 paraugi)</w:t>
            </w:r>
            <w:r w:rsidR="00057C8E" w:rsidRPr="00057C8E">
              <w:rPr>
                <w:b/>
              </w:rPr>
              <w:t xml:space="preserve"> </w:t>
            </w:r>
            <w:r w:rsidR="003F7F2F" w:rsidRPr="00057C8E">
              <w:rPr>
                <w:b/>
              </w:rPr>
              <w:t>Pārtikas drošības, dzīvnieku</w:t>
            </w:r>
            <w:r w:rsidR="003F7F2F" w:rsidRPr="007D5CCC">
              <w:rPr>
                <w:b/>
              </w:rPr>
              <w:t xml:space="preserve"> veselības un vides zinātniskajam institūtam "BIOR" </w:t>
            </w:r>
            <w:r w:rsidRPr="00E17E66">
              <w:t>(detalizētu izdevumu aprēķinu skatīt pielikumā Nr.1), EKK 7350</w:t>
            </w:r>
          </w:p>
        </w:tc>
        <w:tc>
          <w:tcPr>
            <w:tcW w:w="0" w:type="auto"/>
            <w:tcBorders>
              <w:top w:val="nil"/>
              <w:left w:val="nil"/>
              <w:bottom w:val="single" w:sz="4" w:space="0" w:color="auto"/>
              <w:right w:val="single" w:sz="4" w:space="0" w:color="auto"/>
            </w:tcBorders>
            <w:shd w:val="clear" w:color="auto" w:fill="auto"/>
            <w:vAlign w:val="center"/>
            <w:hideMark/>
          </w:tcPr>
          <w:p w:rsidR="002536EE" w:rsidRDefault="002536EE" w:rsidP="002536EE">
            <w:pPr>
              <w:jc w:val="center"/>
              <w:rPr>
                <w:color w:val="000000"/>
                <w:u w:val="single"/>
                <w:lang w:eastAsia="lv-LV"/>
              </w:rPr>
            </w:pPr>
          </w:p>
          <w:p w:rsidR="000D4A33" w:rsidRDefault="000D4A33" w:rsidP="002536EE">
            <w:pPr>
              <w:jc w:val="center"/>
              <w:rPr>
                <w:color w:val="000000"/>
                <w:u w:val="single"/>
                <w:lang w:eastAsia="lv-LV"/>
              </w:rPr>
            </w:pPr>
          </w:p>
          <w:p w:rsidR="000D4A33" w:rsidRDefault="000D4A33" w:rsidP="002536EE">
            <w:pPr>
              <w:jc w:val="center"/>
              <w:rPr>
                <w:color w:val="000000"/>
                <w:u w:val="single"/>
                <w:lang w:eastAsia="lv-LV"/>
              </w:rPr>
            </w:pPr>
          </w:p>
          <w:p w:rsidR="004B611D" w:rsidRPr="002536EE" w:rsidRDefault="002536EE" w:rsidP="002536EE">
            <w:pPr>
              <w:jc w:val="center"/>
              <w:rPr>
                <w:color w:val="000000"/>
                <w:u w:val="single"/>
                <w:lang w:eastAsia="lv-LV"/>
              </w:rPr>
            </w:pPr>
            <w:r>
              <w:rPr>
                <w:color w:val="000000"/>
                <w:u w:val="single"/>
                <w:lang w:eastAsia="lv-LV"/>
              </w:rPr>
              <w:t>0</w:t>
            </w:r>
            <w:r w:rsidR="00CC6BE3" w:rsidRPr="002536EE">
              <w:rPr>
                <w:color w:val="000000"/>
                <w:u w:val="single"/>
                <w:lang w:eastAsia="lv-LV"/>
              </w:rPr>
              <w:t>,</w:t>
            </w:r>
            <w:r>
              <w:rPr>
                <w:color w:val="000000"/>
                <w:u w:val="single"/>
                <w:lang w:eastAsia="lv-LV"/>
              </w:rPr>
              <w:t>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3F1BC5" w:rsidRDefault="003F1BC5" w:rsidP="002536EE">
            <w:pPr>
              <w:jc w:val="center"/>
              <w:rPr>
                <w:color w:val="000000"/>
                <w:lang w:eastAsia="lv-LV"/>
              </w:rPr>
            </w:pPr>
          </w:p>
          <w:p w:rsidR="003F1BC5" w:rsidRDefault="003F1BC5"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CC6BE3"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3F1BC5" w:rsidRDefault="003F1BC5" w:rsidP="002536EE">
            <w:pPr>
              <w:jc w:val="center"/>
              <w:rPr>
                <w:color w:val="000000"/>
                <w:u w:val="single"/>
                <w:lang w:eastAsia="lv-LV"/>
              </w:rPr>
            </w:pPr>
          </w:p>
          <w:p w:rsidR="002536EE" w:rsidRDefault="002536EE" w:rsidP="002536EE">
            <w:pPr>
              <w:jc w:val="center"/>
              <w:rPr>
                <w:color w:val="000000"/>
                <w:u w:val="single"/>
                <w:lang w:eastAsia="lv-LV"/>
              </w:rPr>
            </w:pPr>
            <w:r w:rsidRPr="002536EE">
              <w:rPr>
                <w:color w:val="000000"/>
                <w:u w:val="single"/>
                <w:lang w:eastAsia="lv-LV"/>
              </w:rPr>
              <w:t>0,0</w:t>
            </w:r>
          </w:p>
          <w:p w:rsidR="00EC04CE" w:rsidRPr="002536EE" w:rsidRDefault="00EC04CE" w:rsidP="002536EE">
            <w:pPr>
              <w:jc w:val="center"/>
              <w:rPr>
                <w:color w:val="000000"/>
                <w:u w:val="single"/>
                <w:lang w:eastAsia="lv-LV"/>
              </w:rPr>
            </w:pPr>
          </w:p>
        </w:tc>
        <w:tc>
          <w:tcPr>
            <w:tcW w:w="0" w:type="auto"/>
            <w:tcBorders>
              <w:top w:val="nil"/>
              <w:left w:val="nil"/>
              <w:bottom w:val="single" w:sz="4" w:space="0" w:color="auto"/>
              <w:right w:val="single" w:sz="4" w:space="0" w:color="auto"/>
            </w:tcBorders>
            <w:shd w:val="clear" w:color="auto" w:fill="auto"/>
            <w:vAlign w:val="center"/>
          </w:tcPr>
          <w:p w:rsidR="002536EE" w:rsidRDefault="002536EE" w:rsidP="002536EE">
            <w:pPr>
              <w:jc w:val="center"/>
              <w:rPr>
                <w:color w:val="000000"/>
                <w:lang w:eastAsia="lv-LV"/>
              </w:rPr>
            </w:pPr>
          </w:p>
          <w:p w:rsidR="002536EE" w:rsidRDefault="002536EE" w:rsidP="002536EE">
            <w:pPr>
              <w:jc w:val="center"/>
              <w:rPr>
                <w:color w:val="000000"/>
                <w:lang w:eastAsia="lv-LV"/>
              </w:rPr>
            </w:pPr>
          </w:p>
          <w:p w:rsidR="002536EE" w:rsidRDefault="002536EE" w:rsidP="002536EE">
            <w:pPr>
              <w:jc w:val="center"/>
              <w:rPr>
                <w:color w:val="000000"/>
                <w:lang w:eastAsia="lv-LV"/>
              </w:rPr>
            </w:pPr>
          </w:p>
          <w:p w:rsidR="004B611D" w:rsidRPr="002536EE" w:rsidRDefault="00CC6BE3" w:rsidP="002536EE">
            <w:pPr>
              <w:jc w:val="center"/>
              <w:rPr>
                <w:color w:val="000000"/>
                <w:u w:val="single"/>
                <w:lang w:eastAsia="lv-LV"/>
              </w:rPr>
            </w:pPr>
            <w:r w:rsidRPr="002536EE">
              <w:rPr>
                <w:color w:val="000000"/>
                <w:u w:val="single"/>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3F1BC5" w:rsidRDefault="003F1BC5" w:rsidP="002536EE">
            <w:pPr>
              <w:jc w:val="center"/>
              <w:rPr>
                <w:color w:val="000000"/>
                <w:lang w:eastAsia="lv-LV"/>
              </w:rPr>
            </w:pPr>
          </w:p>
          <w:p w:rsidR="003F1BC5" w:rsidRDefault="003F1BC5" w:rsidP="002536EE">
            <w:pPr>
              <w:jc w:val="center"/>
              <w:rPr>
                <w:color w:val="000000"/>
                <w:lang w:eastAsia="lv-LV"/>
              </w:rPr>
            </w:pPr>
          </w:p>
          <w:p w:rsidR="002C1F32"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CC6BE3"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2536EE" w:rsidRDefault="002536EE" w:rsidP="002536EE">
            <w:pPr>
              <w:jc w:val="center"/>
              <w:rPr>
                <w:color w:val="000000"/>
                <w:lang w:eastAsia="lv-LV"/>
              </w:rPr>
            </w:pPr>
          </w:p>
          <w:p w:rsidR="003F1BC5" w:rsidRDefault="003F1BC5" w:rsidP="002536EE">
            <w:pPr>
              <w:jc w:val="center"/>
              <w:rPr>
                <w:color w:val="000000"/>
                <w:u w:val="single"/>
                <w:lang w:eastAsia="lv-LV"/>
              </w:rPr>
            </w:pPr>
          </w:p>
          <w:p w:rsidR="002536EE" w:rsidRPr="002536EE" w:rsidRDefault="002536EE" w:rsidP="002536EE">
            <w:pPr>
              <w:jc w:val="center"/>
              <w:rPr>
                <w:color w:val="000000"/>
                <w:u w:val="single"/>
                <w:lang w:eastAsia="lv-LV"/>
              </w:rPr>
            </w:pPr>
            <w:r w:rsidRPr="002536EE">
              <w:rPr>
                <w:color w:val="000000"/>
                <w:u w:val="single"/>
                <w:lang w:eastAsia="lv-LV"/>
              </w:rPr>
              <w:t>0,0</w:t>
            </w:r>
          </w:p>
          <w:p w:rsidR="002536EE" w:rsidRDefault="002536EE" w:rsidP="002536EE">
            <w:pPr>
              <w:jc w:val="center"/>
              <w:rPr>
                <w:color w:val="000000"/>
                <w:lang w:eastAsia="lv-LV"/>
              </w:rPr>
            </w:pPr>
          </w:p>
          <w:p w:rsidR="002536EE" w:rsidRDefault="002536EE" w:rsidP="002536EE">
            <w:pPr>
              <w:jc w:val="center"/>
              <w:rPr>
                <w:color w:val="000000"/>
                <w:lang w:eastAsia="lv-LV"/>
              </w:rPr>
            </w:pPr>
          </w:p>
          <w:p w:rsidR="002536EE" w:rsidRPr="00EA597E" w:rsidRDefault="002536EE" w:rsidP="002536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4B611D" w:rsidRPr="002536EE" w:rsidRDefault="00CC6BE3" w:rsidP="004B611D">
            <w:pPr>
              <w:jc w:val="center"/>
              <w:rPr>
                <w:color w:val="000000"/>
                <w:u w:val="single"/>
                <w:lang w:eastAsia="lv-LV"/>
              </w:rPr>
            </w:pPr>
            <w:r w:rsidRPr="002536EE">
              <w:rPr>
                <w:color w:val="000000"/>
                <w:u w:val="single"/>
                <w:lang w:eastAsia="lv-LV"/>
              </w:rPr>
              <w:t>0,0</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4B611D" w:rsidRDefault="004B611D" w:rsidP="004B611D">
            <w:pPr>
              <w:jc w:val="center"/>
              <w:rPr>
                <w:color w:val="000000"/>
                <w:lang w:eastAsia="lv-LV"/>
              </w:rPr>
            </w:pPr>
            <w:r>
              <w:rPr>
                <w:color w:val="000000"/>
                <w:lang w:eastAsia="lv-LV"/>
              </w:rPr>
              <w:t>0,0</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CC6BE3"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2536EE" w:rsidRDefault="002536EE" w:rsidP="004B611D">
            <w:pPr>
              <w:jc w:val="center"/>
              <w:rPr>
                <w:color w:val="000000"/>
                <w:lang w:eastAsia="lv-LV"/>
              </w:rPr>
            </w:pPr>
          </w:p>
          <w:p w:rsidR="003F1BC5" w:rsidRDefault="003F1BC5" w:rsidP="004B611D">
            <w:pPr>
              <w:jc w:val="center"/>
              <w:rPr>
                <w:color w:val="000000"/>
                <w:u w:val="single"/>
                <w:lang w:eastAsia="lv-LV"/>
              </w:rPr>
            </w:pPr>
          </w:p>
          <w:p w:rsidR="002536EE" w:rsidRPr="002536EE" w:rsidRDefault="002536EE" w:rsidP="004B611D">
            <w:pPr>
              <w:jc w:val="center"/>
              <w:rPr>
                <w:color w:val="000000"/>
                <w:u w:val="single"/>
                <w:lang w:eastAsia="lv-LV"/>
              </w:rPr>
            </w:pPr>
            <w:r w:rsidRPr="002536EE">
              <w:rPr>
                <w:color w:val="000000"/>
                <w:u w:val="single"/>
                <w:lang w:eastAsia="lv-LV"/>
              </w:rPr>
              <w:t>0,0</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Pr="00EA597E" w:rsidRDefault="002536EE" w:rsidP="004B61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Default="004B611D"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845502" w:rsidRPr="00057C8E" w:rsidRDefault="00B477C2" w:rsidP="00845502">
            <w:pPr>
              <w:jc w:val="center"/>
              <w:rPr>
                <w:b/>
                <w:color w:val="000000"/>
                <w:u w:val="single"/>
                <w:lang w:eastAsia="lv-LV"/>
              </w:rPr>
            </w:pPr>
            <w:r>
              <w:rPr>
                <w:b/>
                <w:color w:val="000000"/>
                <w:u w:val="single"/>
                <w:lang w:eastAsia="lv-LV"/>
              </w:rPr>
              <w:t>81 561</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845502" w:rsidRDefault="00B477C2" w:rsidP="00845502">
            <w:pPr>
              <w:jc w:val="center"/>
              <w:rPr>
                <w:color w:val="000000"/>
                <w:lang w:eastAsia="lv-LV"/>
              </w:rPr>
            </w:pPr>
            <w:r>
              <w:rPr>
                <w:color w:val="000000"/>
                <w:lang w:eastAsia="lv-LV"/>
              </w:rPr>
              <w:t>49 317</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p>
          <w:p w:rsidR="00845502" w:rsidRDefault="00B477C2" w:rsidP="00845502">
            <w:pPr>
              <w:jc w:val="center"/>
              <w:rPr>
                <w:color w:val="000000"/>
                <w:lang w:eastAsia="lv-LV"/>
              </w:rPr>
            </w:pPr>
            <w:r>
              <w:rPr>
                <w:color w:val="000000"/>
                <w:lang w:eastAsia="lv-LV"/>
              </w:rPr>
              <w:t>8 514</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45502" w:rsidRDefault="00B477C2" w:rsidP="00845502">
            <w:pPr>
              <w:jc w:val="center"/>
              <w:rPr>
                <w:color w:val="000000"/>
                <w:lang w:eastAsia="lv-LV"/>
              </w:rPr>
            </w:pPr>
            <w:r>
              <w:rPr>
                <w:color w:val="000000"/>
                <w:lang w:eastAsia="lv-LV"/>
              </w:rPr>
              <w:t>600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45502" w:rsidRDefault="00B477C2" w:rsidP="00845502">
            <w:pPr>
              <w:jc w:val="center"/>
              <w:rPr>
                <w:color w:val="000000"/>
                <w:lang w:eastAsia="lv-LV"/>
              </w:rPr>
            </w:pPr>
            <w:r>
              <w:rPr>
                <w:color w:val="000000"/>
                <w:lang w:eastAsia="lv-LV"/>
              </w:rPr>
              <w:t>21 780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B477C2" w:rsidP="004B611D">
            <w:pPr>
              <w:jc w:val="center"/>
              <w:rPr>
                <w:color w:val="000000"/>
                <w:lang w:eastAsia="lv-LV"/>
              </w:rPr>
            </w:pPr>
            <w:r>
              <w:rPr>
                <w:color w:val="000000"/>
                <w:lang w:eastAsia="lv-LV"/>
              </w:rPr>
              <w:t>1350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u w:val="single"/>
                <w:lang w:eastAsia="lv-LV"/>
              </w:rPr>
            </w:pPr>
          </w:p>
          <w:p w:rsidR="002536EE" w:rsidRPr="00B1479E" w:rsidRDefault="00B477C2" w:rsidP="004B611D">
            <w:pPr>
              <w:jc w:val="center"/>
              <w:rPr>
                <w:b/>
                <w:color w:val="000000"/>
                <w:u w:val="single"/>
                <w:lang w:eastAsia="lv-LV"/>
              </w:rPr>
            </w:pPr>
            <w:r>
              <w:rPr>
                <w:b/>
                <w:color w:val="000000"/>
                <w:u w:val="single"/>
                <w:lang w:eastAsia="lv-LV"/>
              </w:rPr>
              <w:t>5225</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4B611D" w:rsidRPr="00EA597E" w:rsidRDefault="004B611D" w:rsidP="004B61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2C1F32" w:rsidRDefault="002C1F32"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6B24DF" w:rsidRPr="006B24DF" w:rsidRDefault="006B24DF" w:rsidP="006B24DF">
            <w:pPr>
              <w:jc w:val="both"/>
              <w:rPr>
                <w:b/>
                <w:u w:val="single"/>
              </w:rPr>
            </w:pPr>
            <w:r w:rsidRPr="006B24DF">
              <w:rPr>
                <w:b/>
                <w:u w:val="single"/>
              </w:rPr>
              <w:t>57</w:t>
            </w:r>
            <w:r>
              <w:rPr>
                <w:b/>
                <w:u w:val="single"/>
              </w:rPr>
              <w:t> </w:t>
            </w:r>
            <w:r w:rsidRPr="006B24DF">
              <w:rPr>
                <w:b/>
                <w:u w:val="single"/>
              </w:rPr>
              <w:t>831</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4B611D" w:rsidRDefault="00B477C2" w:rsidP="004B611D">
            <w:pPr>
              <w:jc w:val="center"/>
              <w:rPr>
                <w:color w:val="000000"/>
                <w:lang w:eastAsia="lv-LV"/>
              </w:rPr>
            </w:pPr>
            <w:r>
              <w:rPr>
                <w:color w:val="000000"/>
                <w:lang w:eastAsia="lv-LV"/>
              </w:rPr>
              <w:t>49 317</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64317E" w:rsidP="004B611D">
            <w:pPr>
              <w:jc w:val="center"/>
              <w:rPr>
                <w:color w:val="000000"/>
                <w:lang w:eastAsia="lv-LV"/>
              </w:rPr>
            </w:pPr>
            <w:r>
              <w:rPr>
                <w:color w:val="000000"/>
                <w:lang w:eastAsia="lv-LV"/>
              </w:rPr>
              <w:t>8 514</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6B24DF"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6B24DF"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057C8E" w:rsidRDefault="00057C8E" w:rsidP="004B611D">
            <w:pPr>
              <w:jc w:val="center"/>
              <w:rPr>
                <w:rFonts w:ascii="Calibri" w:hAnsi="Calibri"/>
                <w:color w:val="1F497D"/>
              </w:rPr>
            </w:pPr>
          </w:p>
          <w:p w:rsidR="003F1BC5" w:rsidRDefault="003F1BC5" w:rsidP="004B611D">
            <w:pPr>
              <w:jc w:val="center"/>
              <w:rPr>
                <w:b/>
                <w:color w:val="000000"/>
                <w:u w:val="single"/>
                <w:lang w:eastAsia="lv-LV"/>
              </w:rPr>
            </w:pPr>
          </w:p>
          <w:p w:rsidR="002536EE" w:rsidRPr="00057C8E" w:rsidRDefault="00057C8E" w:rsidP="004B611D">
            <w:pPr>
              <w:jc w:val="center"/>
              <w:rPr>
                <w:b/>
                <w:color w:val="000000"/>
                <w:u w:val="single"/>
                <w:lang w:eastAsia="lv-LV"/>
              </w:rPr>
            </w:pPr>
            <w:r w:rsidRPr="00057C8E">
              <w:rPr>
                <w:b/>
                <w:color w:val="000000"/>
                <w:u w:val="single"/>
                <w:lang w:eastAsia="lv-LV"/>
              </w:rPr>
              <w:t>5 225</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Pr="00EA597E" w:rsidRDefault="002536EE" w:rsidP="004B611D">
            <w:pPr>
              <w:jc w:val="center"/>
              <w:rPr>
                <w:color w:val="000000"/>
                <w:lang w:eastAsia="lv-LV"/>
              </w:rPr>
            </w:pPr>
          </w:p>
        </w:tc>
      </w:tr>
      <w:tr w:rsidR="007D0F71" w:rsidRPr="00EA597E" w:rsidTr="00EC04CE">
        <w:trPr>
          <w:trHeight w:val="85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7D0F71" w:rsidRPr="00EA597E" w:rsidRDefault="007D0F71" w:rsidP="00BF6E4D">
            <w:r w:rsidRPr="00EA597E">
              <w:t>7. Cita informācija</w:t>
            </w:r>
          </w:p>
        </w:tc>
        <w:tc>
          <w:tcPr>
            <w:tcW w:w="0" w:type="auto"/>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69078F" w:rsidRPr="009C7C06" w:rsidRDefault="00C275B9" w:rsidP="00EF6D54">
            <w:pPr>
              <w:jc w:val="both"/>
              <w:rPr>
                <w:lang w:eastAsia="lv-LV"/>
              </w:rPr>
            </w:pPr>
            <w:r>
              <w:rPr>
                <w:lang w:eastAsia="lv-LV"/>
              </w:rPr>
              <w:t xml:space="preserve">2015. un </w:t>
            </w:r>
            <w:r w:rsidR="00EF6D54" w:rsidRPr="009C7C06">
              <w:rPr>
                <w:lang w:eastAsia="lv-LV"/>
              </w:rPr>
              <w:t>2016.gadā</w:t>
            </w:r>
            <w:r w:rsidR="00776681">
              <w:rPr>
                <w:lang w:eastAsia="lv-LV"/>
              </w:rPr>
              <w:t xml:space="preserve"> noteikumu</w:t>
            </w:r>
            <w:r w:rsidR="00EF6D54" w:rsidRPr="009C7C06">
              <w:rPr>
                <w:lang w:eastAsia="lv-LV"/>
              </w:rPr>
              <w:t xml:space="preserve"> projekta izpilde tiks nodrošināta piešķirto </w:t>
            </w:r>
            <w:r w:rsidR="00B1513B" w:rsidRPr="009C7C06">
              <w:rPr>
                <w:lang w:eastAsia="lv-LV"/>
              </w:rPr>
              <w:t xml:space="preserve">valsts </w:t>
            </w:r>
            <w:r w:rsidR="00EF6D54" w:rsidRPr="009C7C06">
              <w:rPr>
                <w:lang w:eastAsia="lv-LV"/>
              </w:rPr>
              <w:t>budžeta līdzekļu ietvaros</w:t>
            </w:r>
            <w:r w:rsidR="00B1513B" w:rsidRPr="009C7C06">
              <w:rPr>
                <w:lang w:eastAsia="lv-LV"/>
              </w:rPr>
              <w:t>, ņemot vērā, ka</w:t>
            </w:r>
            <w:r w:rsidR="0069078F" w:rsidRPr="009C7C06">
              <w:rPr>
                <w:lang w:eastAsia="lv-LV"/>
              </w:rPr>
              <w:t xml:space="preserve"> noteikumu projektā ir noteikts pārejas periods un</w:t>
            </w:r>
            <w:r w:rsidR="00B1513B" w:rsidRPr="009C7C06">
              <w:rPr>
                <w:lang w:eastAsia="lv-LV"/>
              </w:rPr>
              <w:t xml:space="preserve"> paredzētās </w:t>
            </w:r>
            <w:r w:rsidR="00776681">
              <w:rPr>
                <w:lang w:eastAsia="lv-LV"/>
              </w:rPr>
              <w:t xml:space="preserve">trans-taukskābju </w:t>
            </w:r>
            <w:r w:rsidR="00B1513B" w:rsidRPr="009C7C06">
              <w:rPr>
                <w:lang w:eastAsia="lv-LV"/>
              </w:rPr>
              <w:t>normas</w:t>
            </w:r>
            <w:r w:rsidR="006B24DF">
              <w:rPr>
                <w:lang w:eastAsia="lv-LV"/>
              </w:rPr>
              <w:t xml:space="preserve"> </w:t>
            </w:r>
            <w:r w:rsidR="00776681">
              <w:rPr>
                <w:lang w:eastAsia="lv-LV"/>
              </w:rPr>
              <w:t xml:space="preserve">pārtikas ražotājiem </w:t>
            </w:r>
            <w:r w:rsidR="006B24DF">
              <w:rPr>
                <w:lang w:eastAsia="lv-LV"/>
              </w:rPr>
              <w:t>pilnībā jāpiemēro sākot ar 2017</w:t>
            </w:r>
            <w:r w:rsidR="00B1513B" w:rsidRPr="009C7C06">
              <w:rPr>
                <w:lang w:eastAsia="lv-LV"/>
              </w:rPr>
              <w:t>.gadu</w:t>
            </w:r>
            <w:r w:rsidR="0069078F" w:rsidRPr="009C7C06">
              <w:rPr>
                <w:lang w:eastAsia="lv-LV"/>
              </w:rPr>
              <w:t xml:space="preserve">, </w:t>
            </w:r>
            <w:r w:rsidR="0069078F" w:rsidRPr="009C7C06">
              <w:t>tādējādi nebūtu lietderīgi uzsākt pārtikas produktu kontroles un paraugu laborator</w:t>
            </w:r>
            <w:r w:rsidR="00776681">
              <w:t>isko testēšanu jau no 2016.gada.</w:t>
            </w:r>
          </w:p>
          <w:p w:rsidR="005D317E" w:rsidRDefault="006B24DF" w:rsidP="0031664F">
            <w:pPr>
              <w:jc w:val="both"/>
            </w:pPr>
            <w:r>
              <w:t>2017</w:t>
            </w:r>
            <w:r w:rsidR="00AE68E0" w:rsidRPr="00AE68E0">
              <w:t xml:space="preserve">.gadā </w:t>
            </w:r>
            <w:r w:rsidR="00AE68E0" w:rsidRPr="00AE68E0">
              <w:rPr>
                <w:lang w:eastAsia="lv-LV"/>
              </w:rPr>
              <w:t xml:space="preserve">trans-taukskābju pārbaužu veikšanai pārtikas produktos nepieciešams </w:t>
            </w:r>
            <w:r w:rsidR="00AE68E0" w:rsidRPr="00057C8E">
              <w:rPr>
                <w:b/>
                <w:lang w:eastAsia="lv-LV"/>
              </w:rPr>
              <w:t xml:space="preserve">papildus </w:t>
            </w:r>
            <w:r w:rsidR="00057C8E" w:rsidRPr="00057C8E">
              <w:rPr>
                <w:b/>
                <w:color w:val="000000"/>
                <w:lang w:eastAsia="lv-LV"/>
              </w:rPr>
              <w:t xml:space="preserve">86 786 </w:t>
            </w:r>
            <w:r w:rsidR="00AE68E0" w:rsidRPr="00057C8E">
              <w:rPr>
                <w:b/>
              </w:rPr>
              <w:t>EUR</w:t>
            </w:r>
            <w:r w:rsidR="00A16A3A">
              <w:t xml:space="preserve"> (</w:t>
            </w:r>
            <w:r w:rsidR="00E65A14">
              <w:t>EKK</w:t>
            </w:r>
            <w:r w:rsidR="003F7F2F">
              <w:t xml:space="preserve"> </w:t>
            </w:r>
            <w:r w:rsidR="00E65A14">
              <w:t>1000 - 49 317 EUR</w:t>
            </w:r>
            <w:r w:rsidR="00A16A3A">
              <w:t xml:space="preserve"> (t.sk.EKK1100 – 39 362 EUR, EKK 1200 – 9 955 EUR)</w:t>
            </w:r>
            <w:r w:rsidR="00E65A14">
              <w:t xml:space="preserve">, EKK 2000 – 9 114 EUR, EKK 5000 – 23 130 </w:t>
            </w:r>
            <w:r w:rsidR="00057C8E">
              <w:t>EUR, EKK 7350 – 5225</w:t>
            </w:r>
            <w:r w:rsidR="00E65A14">
              <w:t xml:space="preserve"> EUR)</w:t>
            </w:r>
            <w:r w:rsidR="00AE68E0" w:rsidRPr="00AE68E0">
              <w:t xml:space="preserve">. Savukārt </w:t>
            </w:r>
            <w:r>
              <w:rPr>
                <w:lang w:eastAsia="lv-LV"/>
              </w:rPr>
              <w:t>2018</w:t>
            </w:r>
            <w:r w:rsidR="005D23E6" w:rsidRPr="00AE68E0">
              <w:rPr>
                <w:lang w:eastAsia="lv-LV"/>
              </w:rPr>
              <w:t xml:space="preserve">.gadā </w:t>
            </w:r>
            <w:r w:rsidR="009C7C06" w:rsidRPr="00AE68E0">
              <w:rPr>
                <w:lang w:eastAsia="lv-LV"/>
              </w:rPr>
              <w:t xml:space="preserve">un turpmāk ik gadu </w:t>
            </w:r>
            <w:r w:rsidR="00057C8E" w:rsidRPr="00AE68E0">
              <w:rPr>
                <w:lang w:eastAsia="lv-LV"/>
              </w:rPr>
              <w:t xml:space="preserve">pārbaužu veikšanai pārtikas produktos nepieciešams </w:t>
            </w:r>
            <w:r w:rsidR="00057C8E" w:rsidRPr="00057C8E">
              <w:rPr>
                <w:b/>
                <w:lang w:eastAsia="lv-LV"/>
              </w:rPr>
              <w:t>papildus</w:t>
            </w:r>
            <w:r w:rsidR="005D23E6" w:rsidRPr="00AE68E0">
              <w:rPr>
                <w:lang w:eastAsia="lv-LV"/>
              </w:rPr>
              <w:t xml:space="preserve"> </w:t>
            </w:r>
            <w:r w:rsidR="005D317E">
              <w:rPr>
                <w:b/>
              </w:rPr>
              <w:t>63 056</w:t>
            </w:r>
            <w:r w:rsidR="009C7C06" w:rsidRPr="00057C8E">
              <w:rPr>
                <w:b/>
              </w:rPr>
              <w:t xml:space="preserve"> EUR</w:t>
            </w:r>
            <w:r w:rsidR="003F7F2F">
              <w:t xml:space="preserve"> </w:t>
            </w:r>
            <w:r w:rsidR="00A16A3A">
              <w:t>(</w:t>
            </w:r>
            <w:r w:rsidR="003F7F2F">
              <w:t>EKK1000 - 49 317 EUR</w:t>
            </w:r>
            <w:r w:rsidR="00A16A3A">
              <w:t xml:space="preserve"> (t.sk.EKK1100 – 39 362 EUR, EKK 1200 – 9 955 EUR)</w:t>
            </w:r>
            <w:r w:rsidR="003F7F2F">
              <w:t>, EKK 2000 – 8 51</w:t>
            </w:r>
            <w:r w:rsidR="00057C8E">
              <w:t>4 EUR, EKK 7350 – 5225</w:t>
            </w:r>
            <w:r w:rsidR="003F7F2F">
              <w:t xml:space="preserve"> EUR)</w:t>
            </w:r>
            <w:r w:rsidR="009C7C06" w:rsidRPr="00AE68E0">
              <w:t>.</w:t>
            </w:r>
            <w:bookmarkStart w:id="2" w:name="_GoBack"/>
            <w:bookmarkEnd w:id="2"/>
          </w:p>
          <w:p w:rsidR="00194D09" w:rsidRPr="009C7C06" w:rsidRDefault="00B477C2" w:rsidP="00476218">
            <w:pPr>
              <w:jc w:val="both"/>
            </w:pPr>
            <w:r>
              <w:rPr>
                <w:lang w:eastAsia="lv-LV"/>
              </w:rPr>
              <w:t>Jautājumu</w:t>
            </w:r>
            <w:r w:rsidR="002D1DAB" w:rsidRPr="009C7C06">
              <w:rPr>
                <w:lang w:eastAsia="lv-LV"/>
              </w:rPr>
              <w:t xml:space="preserve"> </w:t>
            </w:r>
            <w:r w:rsidR="009C7C06" w:rsidRPr="009C7C06">
              <w:rPr>
                <w:lang w:eastAsia="lv-LV"/>
              </w:rPr>
              <w:t xml:space="preserve">par papildus finansējuma piešķiršanu </w:t>
            </w:r>
            <w:r w:rsidR="00476218">
              <w:t xml:space="preserve">ZM </w:t>
            </w:r>
            <w:r w:rsidR="009C7C06" w:rsidRPr="00A913ED">
              <w:t>(</w:t>
            </w:r>
            <w:r w:rsidR="00476218">
              <w:t xml:space="preserve">PVD </w:t>
            </w:r>
            <w:r w:rsidR="009C7C06" w:rsidRPr="00A913ED">
              <w:t xml:space="preserve">un </w:t>
            </w:r>
            <w:r w:rsidR="00476218">
              <w:t>BIOR</w:t>
            </w:r>
            <w:r w:rsidR="009C7C06" w:rsidRPr="00A913ED">
              <w:t>) trans-taukskābj</w:t>
            </w:r>
            <w:r w:rsidR="003D75EF">
              <w:t xml:space="preserve">u pārbaužu veikšanai skatīt </w:t>
            </w:r>
            <w:r w:rsidR="002D1DAB">
              <w:t xml:space="preserve">Ministru kabinetā </w:t>
            </w:r>
            <w:r w:rsidR="003D75EF">
              <w:t>2017</w:t>
            </w:r>
            <w:r w:rsidR="009C7C06" w:rsidRPr="00A913ED">
              <w:t>.gada</w:t>
            </w:r>
            <w:r w:rsidR="003D75EF">
              <w:t xml:space="preserve"> valsts budžeta projekta un 2017. – 2019</w:t>
            </w:r>
            <w:r w:rsidR="009C7C06" w:rsidRPr="00A913ED">
              <w:t>.gada  vidēja termiņa budžeta ietvara projekta sagatavošanas procesā kopā ar visu ministriju un citu centrālo valsts iestāžu jauno politikas iniciatīvu pieteikumiem, ievērojot vals</w:t>
            </w:r>
            <w:r w:rsidR="009C7C06">
              <w:t>ts budžeta finansiālās iespējas</w:t>
            </w:r>
            <w:r w:rsidR="009C7C06" w:rsidRPr="00A913ED">
              <w:t>.</w:t>
            </w:r>
          </w:p>
        </w:tc>
      </w:tr>
    </w:tbl>
    <w:p w:rsidR="00E571FE" w:rsidRPr="00EA597E" w:rsidRDefault="00E571FE" w:rsidP="00BF6E4D">
      <w:pPr>
        <w:rPr>
          <w:b/>
          <w:sz w:val="28"/>
          <w:szCs w:val="28"/>
        </w:rPr>
      </w:pPr>
    </w:p>
    <w:p w:rsidR="002C0406" w:rsidRPr="00EA597E" w:rsidRDefault="002C0406" w:rsidP="00BF6E4D">
      <w:pPr>
        <w:jc w:val="center"/>
        <w:rPr>
          <w:b/>
          <w:vanish/>
          <w:sz w:val="28"/>
          <w:szCs w:val="28"/>
        </w:rPr>
      </w:pPr>
    </w:p>
    <w:p w:rsidR="006218C3" w:rsidRPr="00EA597E" w:rsidRDefault="006218C3" w:rsidP="00BF6E4D">
      <w:pPr>
        <w:jc w:val="center"/>
        <w:rPr>
          <w:b/>
          <w:iCs/>
          <w:sz w:val="28"/>
          <w:szCs w:val="28"/>
        </w:rPr>
      </w:pPr>
      <w:r w:rsidRPr="00EA597E">
        <w:rPr>
          <w:b/>
          <w:bCs/>
          <w:sz w:val="28"/>
          <w:szCs w:val="28"/>
        </w:rPr>
        <w:t>IV -</w:t>
      </w:r>
      <w:r w:rsidRPr="00EA597E">
        <w:rPr>
          <w:b/>
          <w:iCs/>
          <w:sz w:val="28"/>
          <w:szCs w:val="28"/>
        </w:rPr>
        <w:t xml:space="preserve"> </w:t>
      </w:r>
      <w:r w:rsidR="00D840B3" w:rsidRPr="00EA597E">
        <w:rPr>
          <w:b/>
          <w:iCs/>
          <w:sz w:val="28"/>
          <w:szCs w:val="28"/>
        </w:rPr>
        <w:t>P</w:t>
      </w:r>
      <w:r w:rsidRPr="00EA597E">
        <w:rPr>
          <w:b/>
          <w:iCs/>
          <w:sz w:val="28"/>
          <w:szCs w:val="28"/>
        </w:rPr>
        <w:t>rojekts šo jomu neskar</w:t>
      </w:r>
    </w:p>
    <w:p w:rsidR="006218C3" w:rsidRPr="00EA597E" w:rsidRDefault="006218C3" w:rsidP="00BF6E4D">
      <w:pPr>
        <w:rPr>
          <w:b/>
          <w:vanish/>
          <w:sz w:val="28"/>
          <w:szCs w:val="28"/>
        </w:rPr>
      </w:pPr>
    </w:p>
    <w:p w:rsidR="006218C3" w:rsidRPr="00EA597E" w:rsidRDefault="006218C3" w:rsidP="00BF6E4D">
      <w:pPr>
        <w:rPr>
          <w:b/>
          <w:vanish/>
          <w:sz w:val="28"/>
          <w:szCs w:val="28"/>
        </w:rPr>
      </w:pPr>
    </w:p>
    <w:p w:rsidR="00E571FE" w:rsidRPr="00EA597E" w:rsidRDefault="00E571FE" w:rsidP="00BF6E4D">
      <w:pPr>
        <w:jc w:val="both"/>
        <w:rPr>
          <w:b/>
          <w:i/>
          <w:sz w:val="28"/>
          <w:szCs w:val="28"/>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7"/>
        <w:gridCol w:w="2653"/>
        <w:gridCol w:w="5982"/>
        <w:gridCol w:w="15"/>
      </w:tblGrid>
      <w:tr w:rsidR="00E571FE" w:rsidRPr="00EA597E" w:rsidTr="00890432">
        <w:trPr>
          <w:gridAfter w:val="1"/>
          <w:wAfter w:w="8" w:type="pct"/>
        </w:trPr>
        <w:tc>
          <w:tcPr>
            <w:tcW w:w="4992" w:type="pct"/>
            <w:gridSpan w:val="3"/>
            <w:tcBorders>
              <w:top w:val="single" w:sz="4" w:space="0" w:color="auto"/>
              <w:left w:val="single" w:sz="4" w:space="0" w:color="auto"/>
              <w:bottom w:val="outset" w:sz="6" w:space="0" w:color="000000"/>
              <w:right w:val="single" w:sz="4" w:space="0" w:color="auto"/>
            </w:tcBorders>
          </w:tcPr>
          <w:p w:rsidR="00E571FE" w:rsidRPr="00EA597E" w:rsidRDefault="00E571FE" w:rsidP="00BF6E4D">
            <w:pPr>
              <w:jc w:val="center"/>
              <w:rPr>
                <w:b/>
                <w:bCs/>
              </w:rPr>
            </w:pPr>
            <w:r w:rsidRPr="00EA597E">
              <w:rPr>
                <w:b/>
                <w:bCs/>
                <w:sz w:val="28"/>
              </w:rPr>
              <w:t>V. Tiesību akta projekta atbilstība Latvijas Republikas starptautiskajām saistībām</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1.</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Saistības pret Eiropas Savienību</w:t>
            </w:r>
          </w:p>
        </w:tc>
        <w:tc>
          <w:tcPr>
            <w:tcW w:w="3270" w:type="pct"/>
            <w:tcBorders>
              <w:top w:val="outset" w:sz="6" w:space="0" w:color="000000"/>
              <w:left w:val="outset" w:sz="6" w:space="0" w:color="000000"/>
              <w:bottom w:val="outset" w:sz="6" w:space="0" w:color="000000"/>
            </w:tcBorders>
          </w:tcPr>
          <w:p w:rsidR="00E571FE" w:rsidRPr="00EA597E" w:rsidRDefault="000B32DC" w:rsidP="00BF6E4D">
            <w:pPr>
              <w:jc w:val="both"/>
            </w:pPr>
            <w:r w:rsidRPr="00EA597E">
              <w:t>Nav</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2.</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Citas starptautiskās saistības</w:t>
            </w:r>
          </w:p>
        </w:tc>
        <w:tc>
          <w:tcPr>
            <w:tcW w:w="3270" w:type="pct"/>
            <w:tcBorders>
              <w:top w:val="outset" w:sz="6" w:space="0" w:color="000000"/>
              <w:left w:val="outset" w:sz="6" w:space="0" w:color="000000"/>
              <w:bottom w:val="outset" w:sz="6" w:space="0" w:color="000000"/>
            </w:tcBorders>
          </w:tcPr>
          <w:p w:rsidR="00E571FE" w:rsidRPr="00EA597E" w:rsidRDefault="00E571FE" w:rsidP="00BF6E4D">
            <w:pPr>
              <w:tabs>
                <w:tab w:val="left" w:pos="2628"/>
              </w:tabs>
              <w:jc w:val="both"/>
              <w:rPr>
                <w:iCs/>
              </w:rPr>
            </w:pPr>
            <w:r w:rsidRPr="00EA597E">
              <w:rPr>
                <w:iCs/>
              </w:rPr>
              <w:t>Projekts šo jomu neskar.</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3.</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Cita informācija</w:t>
            </w:r>
          </w:p>
        </w:tc>
        <w:tc>
          <w:tcPr>
            <w:tcW w:w="3270" w:type="pct"/>
            <w:tcBorders>
              <w:top w:val="outset" w:sz="6" w:space="0" w:color="000000"/>
              <w:left w:val="outset" w:sz="6" w:space="0" w:color="000000"/>
              <w:bottom w:val="outset" w:sz="6" w:space="0" w:color="000000"/>
            </w:tcBorders>
          </w:tcPr>
          <w:p w:rsidR="00194D09" w:rsidRPr="00EA597E" w:rsidRDefault="000B32DC" w:rsidP="00476218">
            <w:pPr>
              <w:tabs>
                <w:tab w:val="left" w:pos="2628"/>
              </w:tabs>
              <w:jc w:val="both"/>
              <w:rPr>
                <w:iCs/>
              </w:rPr>
            </w:pPr>
            <w:r w:rsidRPr="00EA597E">
              <w:rPr>
                <w:iCs/>
              </w:rPr>
              <w:t xml:space="preserve">Noteikumu projekts nosūtāms </w:t>
            </w:r>
            <w:r w:rsidR="00476218">
              <w:rPr>
                <w:iCs/>
              </w:rPr>
              <w:t xml:space="preserve">EK </w:t>
            </w:r>
            <w:r w:rsidRPr="00EA597E">
              <w:rPr>
                <w:iCs/>
              </w:rPr>
              <w:t xml:space="preserve">saskaņā ar </w:t>
            </w:r>
            <w:r w:rsidRPr="00EA597E">
              <w:rPr>
                <w:bCs/>
              </w:rPr>
              <w:t>Ministru kabineta  2010.gada  23.februāra instrukcijas Nr.1</w:t>
            </w:r>
            <w:r w:rsidRPr="00EA597E">
              <w:t xml:space="preserve"> „</w:t>
            </w:r>
            <w:r w:rsidRPr="00EA597E">
              <w:rPr>
                <w:bCs/>
              </w:rPr>
              <w:t>Kārtība, kādā valsts pārvaldes iestādes sniedz informāciju par tehnisko noteikumu projektiem”</w:t>
            </w:r>
            <w:r w:rsidRPr="00EA597E">
              <w:t xml:space="preserve"> </w:t>
            </w:r>
            <w:r w:rsidRPr="00EA597E">
              <w:rPr>
                <w:iCs/>
              </w:rPr>
              <w:t>2.2.apakšpunktu.</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4"/>
            <w:vAlign w:val="center"/>
          </w:tcPr>
          <w:p w:rsidR="00E571FE" w:rsidRPr="00EA597E" w:rsidRDefault="00E571FE" w:rsidP="00BF6E4D">
            <w:pPr>
              <w:pStyle w:val="naisnod"/>
              <w:spacing w:before="0" w:after="0"/>
            </w:pPr>
            <w:r w:rsidRPr="00EA597E">
              <w:t>1.tabula</w:t>
            </w:r>
          </w:p>
          <w:p w:rsidR="00E571FE" w:rsidRPr="00EA597E" w:rsidRDefault="00E571FE" w:rsidP="00BF6E4D">
            <w:pPr>
              <w:pStyle w:val="naisnod"/>
              <w:spacing w:before="0" w:after="0"/>
              <w:rPr>
                <w:i/>
              </w:rPr>
            </w:pPr>
            <w:r w:rsidRPr="00EA597E">
              <w:t>Tiesību akta projekta atbilstība ES tiesību aktiem</w:t>
            </w:r>
          </w:p>
        </w:tc>
      </w:tr>
      <w:tr w:rsidR="00D840B3"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5000" w:type="pct"/>
            <w:gridSpan w:val="4"/>
            <w:vAlign w:val="center"/>
          </w:tcPr>
          <w:p w:rsidR="002C0406" w:rsidRPr="00EA597E" w:rsidRDefault="00D840B3" w:rsidP="00160354">
            <w:pPr>
              <w:jc w:val="center"/>
              <w:rPr>
                <w:i/>
              </w:rPr>
            </w:pPr>
            <w:r w:rsidRPr="00EA597E">
              <w:rPr>
                <w:i/>
              </w:rPr>
              <w:t>Projekts šo jomu neskar</w:t>
            </w:r>
            <w:r w:rsidR="002C0406">
              <w:rPr>
                <w:i/>
              </w:rPr>
              <w:t>.</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E571FE" w:rsidRPr="00EA597E" w:rsidRDefault="00E571FE" w:rsidP="00BF6E4D">
            <w:pPr>
              <w:pStyle w:val="naiskr"/>
              <w:spacing w:before="0" w:beforeAutospacing="0" w:after="0" w:afterAutospacing="0"/>
              <w:jc w:val="center"/>
            </w:pPr>
            <w:r w:rsidRPr="00EA597E">
              <w:rPr>
                <w:b/>
                <w:bCs/>
                <w:szCs w:val="20"/>
              </w:rPr>
              <w:t>2.tabula</w:t>
            </w:r>
            <w:r w:rsidRPr="00EA597E">
              <w:rPr>
                <w:b/>
                <w:bCs/>
                <w:szCs w:val="20"/>
              </w:rPr>
              <w:br/>
              <w:t>Ar tiesību akta projektu izpildītās vai uzņemtās saistības, kas izriet no starptautiskajiem tiesību aktiem vai starptautiskas institūcijas vai organizācijas dokumentiem.</w:t>
            </w:r>
            <w:r w:rsidRPr="00EA597E">
              <w:rPr>
                <w:b/>
                <w:bCs/>
                <w:szCs w:val="20"/>
              </w:rPr>
              <w:br/>
              <w:t>Pasākumi šo saistību izpildei</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2C0406" w:rsidRPr="00160354" w:rsidRDefault="00E571FE" w:rsidP="00160354">
            <w:pPr>
              <w:pStyle w:val="naiskr"/>
              <w:spacing w:before="0" w:beforeAutospacing="0" w:after="0" w:afterAutospacing="0"/>
              <w:jc w:val="center"/>
              <w:rPr>
                <w:i/>
              </w:rPr>
            </w:pPr>
            <w:r w:rsidRPr="00EA597E">
              <w:rPr>
                <w:i/>
              </w:rPr>
              <w:t>Projekts šo jomu neskar.</w:t>
            </w:r>
          </w:p>
        </w:tc>
      </w:tr>
    </w:tbl>
    <w:p w:rsidR="00E571FE" w:rsidRPr="00EA597E" w:rsidRDefault="00E571FE" w:rsidP="00BF6E4D">
      <w:pPr>
        <w:rPr>
          <w:u w:val="single"/>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E571FE" w:rsidRPr="00EA597E" w:rsidTr="00890432">
        <w:trPr>
          <w:trHeight w:val="222"/>
        </w:trPr>
        <w:tc>
          <w:tcPr>
            <w:tcW w:w="5000" w:type="pct"/>
            <w:gridSpan w:val="3"/>
            <w:tcBorders>
              <w:top w:val="outset" w:sz="6" w:space="0" w:color="000000"/>
              <w:bottom w:val="outset" w:sz="6" w:space="0" w:color="000000"/>
            </w:tcBorders>
          </w:tcPr>
          <w:p w:rsidR="00E571FE" w:rsidRPr="00EA597E" w:rsidRDefault="00E571FE" w:rsidP="00BF6E4D">
            <w:pPr>
              <w:jc w:val="center"/>
              <w:rPr>
                <w:b/>
                <w:bCs/>
                <w:sz w:val="28"/>
                <w:szCs w:val="28"/>
                <w:lang w:eastAsia="lv-LV"/>
              </w:rPr>
            </w:pPr>
            <w:r w:rsidRPr="00EA597E">
              <w:rPr>
                <w:b/>
                <w:bCs/>
                <w:sz w:val="28"/>
                <w:szCs w:val="28"/>
                <w:lang w:eastAsia="lv-LV"/>
              </w:rPr>
              <w:t xml:space="preserve">VI. Sabiedrības līdzdalība </w:t>
            </w:r>
            <w:r w:rsidRPr="00EA597E">
              <w:rPr>
                <w:b/>
                <w:bCs/>
                <w:sz w:val="28"/>
                <w:szCs w:val="28"/>
              </w:rPr>
              <w:t>un komunikācijas aktivitātes</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1.</w:t>
            </w:r>
          </w:p>
        </w:tc>
        <w:tc>
          <w:tcPr>
            <w:tcW w:w="1406" w:type="pct"/>
          </w:tcPr>
          <w:p w:rsidR="008A1662" w:rsidRPr="00EA597E" w:rsidRDefault="008A1662" w:rsidP="00BF6E4D">
            <w:pPr>
              <w:pStyle w:val="naiskr"/>
              <w:spacing w:before="0" w:beforeAutospacing="0" w:after="0" w:afterAutospacing="0"/>
              <w:jc w:val="both"/>
            </w:pPr>
            <w:r w:rsidRPr="00EA597E">
              <w:t>Plānotās sabiedrības līdzdalības un komunikācijas aktivitātes saistībā ar projektu</w:t>
            </w:r>
          </w:p>
        </w:tc>
        <w:tc>
          <w:tcPr>
            <w:tcW w:w="3286" w:type="pct"/>
          </w:tcPr>
          <w:p w:rsidR="008A1662" w:rsidRPr="00EA597E" w:rsidRDefault="00B3442F" w:rsidP="00BF6E4D">
            <w:pPr>
              <w:ind w:left="57" w:right="57"/>
              <w:jc w:val="both"/>
              <w:rPr>
                <w:iCs/>
              </w:rPr>
            </w:pPr>
            <w:r w:rsidRPr="00EA597E">
              <w:rPr>
                <w:iCs/>
              </w:rPr>
              <w:t xml:space="preserve">Noteikumu projekts ievietots </w:t>
            </w:r>
            <w:r w:rsidR="008A1662" w:rsidRPr="00EA597E">
              <w:rPr>
                <w:iCs/>
              </w:rPr>
              <w:t>Veselības ministrijas mājas lapā publiskai apspriešanai</w:t>
            </w:r>
            <w:r w:rsidRPr="00EA597E">
              <w:rPr>
                <w:iCs/>
              </w:rPr>
              <w:t xml:space="preserve"> no </w:t>
            </w:r>
            <w:r w:rsidR="00476218">
              <w:rPr>
                <w:iCs/>
              </w:rPr>
              <w:t xml:space="preserve">2014.gada </w:t>
            </w:r>
            <w:r w:rsidRPr="00EA597E">
              <w:rPr>
                <w:iCs/>
              </w:rPr>
              <w:t>22.marta līdz 22.aprīlim.</w:t>
            </w:r>
            <w:r w:rsidR="00D34686" w:rsidRPr="00EA597E">
              <w:rPr>
                <w:iCs/>
              </w:rPr>
              <w:t xml:space="preserve"> Publiskās apriešanas rezultāti pieejami</w:t>
            </w:r>
            <w:r w:rsidR="006218C3" w:rsidRPr="00EA597E">
              <w:rPr>
                <w:color w:val="000000"/>
              </w:rPr>
              <w:t xml:space="preserve"> </w:t>
            </w:r>
            <w:r w:rsidR="00D34686" w:rsidRPr="00EA597E">
              <w:rPr>
                <w:color w:val="000000"/>
              </w:rPr>
              <w:t xml:space="preserve">VM </w:t>
            </w:r>
            <w:proofErr w:type="spellStart"/>
            <w:r w:rsidR="00D34686" w:rsidRPr="00EA597E">
              <w:rPr>
                <w:color w:val="000000"/>
              </w:rPr>
              <w:t>mājaslapā</w:t>
            </w:r>
            <w:proofErr w:type="spellEnd"/>
            <w:r w:rsidR="00D34686" w:rsidRPr="00EA597E">
              <w:rPr>
                <w:color w:val="000000"/>
              </w:rPr>
              <w:t>.</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2.</w:t>
            </w:r>
          </w:p>
        </w:tc>
        <w:tc>
          <w:tcPr>
            <w:tcW w:w="1406" w:type="pct"/>
          </w:tcPr>
          <w:p w:rsidR="008A1662" w:rsidRPr="00EA597E" w:rsidRDefault="008A1662" w:rsidP="00BF6E4D">
            <w:pPr>
              <w:pStyle w:val="naiskr"/>
              <w:spacing w:before="0" w:beforeAutospacing="0" w:after="0" w:afterAutospacing="0"/>
              <w:jc w:val="both"/>
            </w:pPr>
            <w:r w:rsidRPr="00EA597E">
              <w:t>Sabiedrības līdzdalība projekta izstrādē</w:t>
            </w:r>
          </w:p>
        </w:tc>
        <w:tc>
          <w:tcPr>
            <w:tcW w:w="3286" w:type="pct"/>
          </w:tcPr>
          <w:p w:rsidR="008A1662" w:rsidRPr="00EA597E" w:rsidRDefault="006C6E32" w:rsidP="00BF6E4D">
            <w:pPr>
              <w:ind w:right="57"/>
              <w:jc w:val="both"/>
              <w:rPr>
                <w:iCs/>
              </w:rPr>
            </w:pPr>
            <w:r w:rsidRPr="00EA597E">
              <w:rPr>
                <w:iCs/>
              </w:rPr>
              <w:t>Noteikumu projekts</w:t>
            </w:r>
            <w:r w:rsidR="008A1662" w:rsidRPr="00EA597E">
              <w:rPr>
                <w:iCs/>
              </w:rPr>
              <w:t xml:space="preserve"> 2014.gada 29.janvārī tika apspriests Veselības ministrijas organizētajā sanāksmē, kurā piedalījās</w:t>
            </w:r>
            <w:r w:rsidR="00476218">
              <w:rPr>
                <w:iCs/>
              </w:rPr>
              <w:t xml:space="preserve"> ZM</w:t>
            </w:r>
            <w:r w:rsidR="008A1662" w:rsidRPr="00EA597E">
              <w:rPr>
                <w:iCs/>
              </w:rPr>
              <w:t xml:space="preserve">, </w:t>
            </w:r>
            <w:r w:rsidR="00476218">
              <w:rPr>
                <w:iCs/>
              </w:rPr>
              <w:t>PVD</w:t>
            </w:r>
            <w:r w:rsidR="008A1662" w:rsidRPr="00EA597E">
              <w:rPr>
                <w:iCs/>
              </w:rPr>
              <w:t xml:space="preserve">, </w:t>
            </w:r>
            <w:r w:rsidR="00476218">
              <w:t>BIOR</w:t>
            </w:r>
            <w:r w:rsidR="008A1662" w:rsidRPr="00EA597E">
              <w:t xml:space="preserve">, </w:t>
            </w:r>
            <w:r w:rsidR="008A1662" w:rsidRPr="00EA597E">
              <w:rPr>
                <w:iCs/>
              </w:rPr>
              <w:t xml:space="preserve">Latvijas Diētas un uztura speciālistu asociācijas, Latvijas Diētas ārstu asociācijas, </w:t>
            </w:r>
            <w:r w:rsidR="008A1662" w:rsidRPr="00EA597E">
              <w:t xml:space="preserve">Latvijas </w:t>
            </w:r>
            <w:proofErr w:type="spellStart"/>
            <w:r w:rsidR="008A1662" w:rsidRPr="00EA597E">
              <w:t>Uzturzinātnes</w:t>
            </w:r>
            <w:proofErr w:type="spellEnd"/>
            <w:r w:rsidR="008A1662" w:rsidRPr="00EA597E">
              <w:t xml:space="preserve"> speciālistu biedrības pārstāvji.</w:t>
            </w:r>
            <w:r w:rsidR="008A1662" w:rsidRPr="00EA597E">
              <w:rPr>
                <w:iCs/>
              </w:rPr>
              <w:t xml:space="preserve"> </w:t>
            </w:r>
          </w:p>
          <w:p w:rsidR="00194D09" w:rsidRPr="00EA597E" w:rsidRDefault="007030A4" w:rsidP="00476218">
            <w:pPr>
              <w:jc w:val="both"/>
            </w:pPr>
            <w:r>
              <w:rPr>
                <w:iCs/>
              </w:rPr>
              <w:t xml:space="preserve">Noteikumu projekts </w:t>
            </w:r>
            <w:r w:rsidR="008A1662" w:rsidRPr="00EA597E">
              <w:rPr>
                <w:iCs/>
              </w:rPr>
              <w:t xml:space="preserve">tika </w:t>
            </w:r>
            <w:r>
              <w:rPr>
                <w:iCs/>
              </w:rPr>
              <w:t xml:space="preserve">arī </w:t>
            </w:r>
            <w:r w:rsidR="006822AC">
              <w:rPr>
                <w:iCs/>
              </w:rPr>
              <w:t>izskatīts 2014.gada 12.</w:t>
            </w:r>
            <w:r w:rsidR="005F6633" w:rsidRPr="00EA597E">
              <w:rPr>
                <w:iCs/>
              </w:rPr>
              <w:t xml:space="preserve">februārī Uztura padomes sēdē un </w:t>
            </w:r>
            <w:r w:rsidR="00476218">
              <w:rPr>
                <w:iCs/>
              </w:rPr>
              <w:t xml:space="preserve">ZM </w:t>
            </w:r>
            <w:r w:rsidR="00B14C3A" w:rsidRPr="00EA597E">
              <w:rPr>
                <w:iCs/>
              </w:rPr>
              <w:t xml:space="preserve">2014.gada 17.marta </w:t>
            </w:r>
            <w:r w:rsidRPr="007030A4">
              <w:t>darba grupas veselīgas pārtikas ražošanas un patēriņa veicināšanai sanāksmē.</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3.</w:t>
            </w:r>
          </w:p>
        </w:tc>
        <w:tc>
          <w:tcPr>
            <w:tcW w:w="1406" w:type="pct"/>
          </w:tcPr>
          <w:p w:rsidR="008A1662" w:rsidRPr="00EA597E" w:rsidRDefault="008A1662" w:rsidP="00BF6E4D">
            <w:pPr>
              <w:pStyle w:val="naiskr"/>
              <w:spacing w:before="0" w:beforeAutospacing="0" w:after="0" w:afterAutospacing="0"/>
              <w:jc w:val="both"/>
            </w:pPr>
            <w:r w:rsidRPr="00EA597E">
              <w:t>Sabiedrības līdzdalības rezultāti</w:t>
            </w:r>
          </w:p>
        </w:tc>
        <w:tc>
          <w:tcPr>
            <w:tcW w:w="3286" w:type="pct"/>
          </w:tcPr>
          <w:p w:rsidR="006862EB" w:rsidRDefault="008A1662" w:rsidP="00BF6E4D">
            <w:pPr>
              <w:jc w:val="both"/>
            </w:pPr>
            <w:r w:rsidRPr="00EA597E">
              <w:rPr>
                <w:iCs/>
              </w:rPr>
              <w:t>Latvijas Diētas un uztura speciālistu asociācijas, Lat</w:t>
            </w:r>
            <w:r w:rsidR="006862EB">
              <w:rPr>
                <w:iCs/>
              </w:rPr>
              <w:t xml:space="preserve">vijas Diētas ārstu asociācijas, </w:t>
            </w:r>
            <w:r w:rsidRPr="00EA597E">
              <w:t xml:space="preserve">Latvijas </w:t>
            </w:r>
            <w:proofErr w:type="spellStart"/>
            <w:r w:rsidRPr="00EA597E">
              <w:t>Uzturzinātnes</w:t>
            </w:r>
            <w:proofErr w:type="spellEnd"/>
            <w:r w:rsidRPr="00EA597E">
              <w:t xml:space="preserve"> speciālistu biedrības</w:t>
            </w:r>
            <w:r w:rsidR="006862EB">
              <w:t>,</w:t>
            </w:r>
            <w:r w:rsidR="00681FE9">
              <w:t xml:space="preserve"> Latvijas Ārstu biedrība</w:t>
            </w:r>
            <w:r w:rsidR="009F6390">
              <w:t xml:space="preserve"> un arī Latvijas sabiedrības locekļi </w:t>
            </w:r>
            <w:r w:rsidR="006862EB">
              <w:t xml:space="preserve">atbalstīja </w:t>
            </w:r>
            <w:r w:rsidR="006862EB" w:rsidRPr="00EA597E">
              <w:t>noteikumu projekta</w:t>
            </w:r>
            <w:r w:rsidR="00681FE9">
              <w:t xml:space="preserve"> tālāku virzību, </w:t>
            </w:r>
            <w:r w:rsidR="006862EB">
              <w:t>pierasot noteikt īsāku pārejas periodu ražotājiem</w:t>
            </w:r>
            <w:r w:rsidR="006862EB" w:rsidRPr="00E471FA">
              <w:rPr>
                <w:bCs/>
              </w:rPr>
              <w:t xml:space="preserve"> </w:t>
            </w:r>
            <w:r w:rsidR="006862EB">
              <w:rPr>
                <w:bCs/>
              </w:rPr>
              <w:t xml:space="preserve">– </w:t>
            </w:r>
            <w:r w:rsidR="006862EB" w:rsidRPr="00E471FA">
              <w:rPr>
                <w:bCs/>
              </w:rPr>
              <w:t>pusotru gadu</w:t>
            </w:r>
            <w:r w:rsidR="006862EB">
              <w:rPr>
                <w:bCs/>
              </w:rPr>
              <w:t>.</w:t>
            </w:r>
          </w:p>
          <w:p w:rsidR="00194D09" w:rsidRPr="001A17A1" w:rsidRDefault="006862EB" w:rsidP="00194D09">
            <w:pPr>
              <w:jc w:val="both"/>
              <w:rPr>
                <w:bCs/>
              </w:rPr>
            </w:pPr>
            <w:r>
              <w:t>Savukārt</w:t>
            </w:r>
            <w:r w:rsidR="00194D09">
              <w:t xml:space="preserve"> </w:t>
            </w:r>
            <w:r w:rsidR="00194D09">
              <w:rPr>
                <w:iCs/>
              </w:rPr>
              <w:t>ZM</w:t>
            </w:r>
            <w:r w:rsidRPr="00EA597E">
              <w:rPr>
                <w:iCs/>
              </w:rPr>
              <w:t xml:space="preserve">, </w:t>
            </w:r>
            <w:r w:rsidR="00194D09">
              <w:rPr>
                <w:iCs/>
              </w:rPr>
              <w:t>PVD</w:t>
            </w:r>
            <w:r w:rsidRPr="00EA597E">
              <w:t xml:space="preserve">, </w:t>
            </w:r>
            <w:r w:rsidR="00194D09">
              <w:t xml:space="preserve">BIOR, </w:t>
            </w:r>
            <w:r>
              <w:t xml:space="preserve">Latvijas Pārtikas uzņēmuma federācijas </w:t>
            </w:r>
            <w:r w:rsidR="008A1662" w:rsidRPr="00EA597E">
              <w:t>pā</w:t>
            </w:r>
            <w:r w:rsidR="006C6E32" w:rsidRPr="00EA597E">
              <w:t>rstāvji konceptuāli atbalstīja noteikumu projekta</w:t>
            </w:r>
            <w:r>
              <w:t xml:space="preserve"> tālāku virzību,</w:t>
            </w:r>
            <w:r>
              <w:rPr>
                <w:bCs/>
              </w:rPr>
              <w:t xml:space="preserve"> rosinot  noteikt garāku un konkrētu pārejas periodu ražotājiem  - trīs gadi, </w:t>
            </w:r>
            <w:r w:rsidRPr="00E471FA">
              <w:rPr>
                <w:bCs/>
              </w:rPr>
              <w:t xml:space="preserve"> lai neradītu normatīvā akta normu dažādu interpretāciju un papildus administratīvo slogu Latvijas ražotājiem. </w:t>
            </w:r>
          </w:p>
        </w:tc>
      </w:tr>
      <w:tr w:rsidR="00E571FE"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E571FE" w:rsidRPr="00EA597E" w:rsidRDefault="00E571FE" w:rsidP="00BF6E4D">
            <w:pPr>
              <w:pStyle w:val="naiskr"/>
              <w:spacing w:before="0" w:beforeAutospacing="0" w:after="0" w:afterAutospacing="0"/>
            </w:pPr>
            <w:r w:rsidRPr="00EA597E">
              <w:t>4.</w:t>
            </w:r>
          </w:p>
        </w:tc>
        <w:tc>
          <w:tcPr>
            <w:tcW w:w="1406" w:type="pct"/>
          </w:tcPr>
          <w:p w:rsidR="00E571FE" w:rsidRPr="00EA597E" w:rsidRDefault="00E571FE" w:rsidP="00BF6E4D">
            <w:pPr>
              <w:pStyle w:val="naiskr"/>
              <w:spacing w:before="0" w:beforeAutospacing="0" w:after="0" w:afterAutospacing="0"/>
              <w:jc w:val="both"/>
            </w:pPr>
            <w:r w:rsidRPr="00EA597E">
              <w:t>Cita informācija</w:t>
            </w:r>
          </w:p>
        </w:tc>
        <w:tc>
          <w:tcPr>
            <w:tcW w:w="3286" w:type="pct"/>
          </w:tcPr>
          <w:p w:rsidR="00E571FE" w:rsidRPr="00EA597E" w:rsidRDefault="00E571FE" w:rsidP="00BF6E4D">
            <w:pPr>
              <w:pStyle w:val="naisc"/>
              <w:spacing w:before="0" w:beforeAutospacing="0" w:after="0" w:afterAutospacing="0"/>
              <w:jc w:val="left"/>
              <w:rPr>
                <w:sz w:val="24"/>
                <w:szCs w:val="24"/>
              </w:rPr>
            </w:pPr>
            <w:r w:rsidRPr="00EA597E">
              <w:rPr>
                <w:sz w:val="24"/>
                <w:szCs w:val="24"/>
              </w:rPr>
              <w:t>Nav</w:t>
            </w:r>
          </w:p>
        </w:tc>
      </w:tr>
      <w:tr w:rsidR="00E571FE" w:rsidRPr="00EA597E" w:rsidTr="00890432">
        <w:trPr>
          <w:trHeight w:val="222"/>
        </w:trPr>
        <w:tc>
          <w:tcPr>
            <w:tcW w:w="5000" w:type="pct"/>
            <w:gridSpan w:val="3"/>
            <w:tcBorders>
              <w:top w:val="outset" w:sz="6" w:space="0" w:color="000000"/>
              <w:bottom w:val="outset" w:sz="6" w:space="0" w:color="000000"/>
            </w:tcBorders>
          </w:tcPr>
          <w:p w:rsidR="00E571FE" w:rsidRPr="00EA597E" w:rsidRDefault="00E571FE" w:rsidP="00BF6E4D">
            <w:pPr>
              <w:jc w:val="center"/>
              <w:rPr>
                <w:b/>
                <w:bCs/>
                <w:sz w:val="28"/>
                <w:lang w:eastAsia="lv-LV"/>
              </w:rPr>
            </w:pPr>
            <w:r w:rsidRPr="00EA597E">
              <w:rPr>
                <w:b/>
                <w:bCs/>
                <w:sz w:val="28"/>
                <w:lang w:eastAsia="lv-LV"/>
              </w:rPr>
              <w:t>VII. Tiesību akta projekta izpildes nodrošināšana un tās ietekme uz institūcijām</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rPr>
                <w:lang w:eastAsia="lv-LV"/>
              </w:rPr>
            </w:pPr>
            <w:r w:rsidRPr="00EA597E">
              <w:rPr>
                <w:lang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2C0406" w:rsidRPr="00160354" w:rsidRDefault="00194D09" w:rsidP="00194D09">
            <w:pPr>
              <w:ind w:left="57" w:right="57"/>
              <w:jc w:val="both"/>
            </w:pPr>
            <w:r>
              <w:rPr>
                <w:bCs/>
              </w:rPr>
              <w:t>ZM</w:t>
            </w:r>
            <w:r w:rsidR="00E571FE" w:rsidRPr="00EA597E">
              <w:rPr>
                <w:bCs/>
              </w:rPr>
              <w:t xml:space="preserve">, </w:t>
            </w:r>
            <w:r>
              <w:rPr>
                <w:bCs/>
              </w:rPr>
              <w:t xml:space="preserve">PVD </w:t>
            </w:r>
            <w:r w:rsidR="00E571FE" w:rsidRPr="00EA597E">
              <w:rPr>
                <w:bCs/>
              </w:rPr>
              <w:t xml:space="preserve">un </w:t>
            </w:r>
            <w:r>
              <w:t>BIOR</w:t>
            </w:r>
            <w:r w:rsidR="00E571FE" w:rsidRPr="00EA597E">
              <w:t>.</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 xml:space="preserve">Projekta izpildes ietekme uz pārvaldes funkcijām un institucionālo struktūru. </w:t>
            </w:r>
          </w:p>
          <w:p w:rsidR="00E571FE" w:rsidRPr="00EA597E" w:rsidRDefault="00E571FE" w:rsidP="00BF6E4D">
            <w:pPr>
              <w:ind w:firstLine="300"/>
              <w:jc w:val="both"/>
            </w:pPr>
            <w:r w:rsidRPr="00EA597E">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E571FE" w:rsidRPr="00EA597E" w:rsidRDefault="00EA597E" w:rsidP="00194D09">
            <w:pPr>
              <w:pStyle w:val="tv2131"/>
              <w:spacing w:before="0" w:line="240" w:lineRule="auto"/>
              <w:ind w:left="57" w:right="57" w:firstLine="0"/>
              <w:rPr>
                <w:rFonts w:ascii="Times New Roman" w:hAnsi="Times New Roman"/>
                <w:bCs/>
                <w:sz w:val="24"/>
                <w:szCs w:val="24"/>
              </w:rPr>
            </w:pPr>
            <w:r w:rsidRPr="00EA597E">
              <w:rPr>
                <w:rFonts w:ascii="Times New Roman" w:hAnsi="Times New Roman"/>
                <w:sz w:val="24"/>
                <w:szCs w:val="24"/>
              </w:rPr>
              <w:t xml:space="preserve">Noteikumu projekts ietekmēs </w:t>
            </w:r>
            <w:r w:rsidR="00194D09">
              <w:rPr>
                <w:rFonts w:ascii="Times New Roman" w:hAnsi="Times New Roman"/>
                <w:sz w:val="24"/>
                <w:szCs w:val="24"/>
              </w:rPr>
              <w:t xml:space="preserve">PVD </w:t>
            </w:r>
            <w:r w:rsidRPr="00EA597E">
              <w:rPr>
                <w:rFonts w:ascii="Times New Roman" w:hAnsi="Times New Roman"/>
                <w:sz w:val="24"/>
                <w:szCs w:val="24"/>
              </w:rPr>
              <w:t>darbu, jaunas institūcijas netiks veidot</w:t>
            </w:r>
            <w:r w:rsidR="007030A4">
              <w:rPr>
                <w:rFonts w:ascii="Times New Roman" w:hAnsi="Times New Roman"/>
                <w:sz w:val="24"/>
                <w:szCs w:val="24"/>
              </w:rPr>
              <w:t xml:space="preserve">as, tomēr </w:t>
            </w:r>
            <w:r w:rsidR="00194D09">
              <w:rPr>
                <w:rFonts w:ascii="Times New Roman" w:hAnsi="Times New Roman"/>
                <w:sz w:val="24"/>
                <w:szCs w:val="24"/>
              </w:rPr>
              <w:t xml:space="preserve">PVD </w:t>
            </w:r>
            <w:r w:rsidRPr="00EA597E">
              <w:rPr>
                <w:rFonts w:ascii="Times New Roman" w:hAnsi="Times New Roman"/>
                <w:sz w:val="24"/>
                <w:szCs w:val="24"/>
              </w:rPr>
              <w:t>būs nepieciešams veikt papildus pārtikas produktu kontroles, kas ietekmēs dienesta administratīvo slogu un finansiālās iespējas (paraugu laboratoriskās analīzes).</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rPr>
                <w:lang w:eastAsia="lv-LV"/>
              </w:rPr>
            </w:pPr>
            <w:r w:rsidRPr="00EA597E">
              <w:rPr>
                <w:lang w:eastAsia="lv-LV"/>
              </w:rPr>
              <w:t>Cita informācija</w:t>
            </w:r>
          </w:p>
        </w:tc>
        <w:tc>
          <w:tcPr>
            <w:tcW w:w="3286" w:type="pct"/>
            <w:tcBorders>
              <w:top w:val="outset" w:sz="6" w:space="0" w:color="000000"/>
              <w:left w:val="outset" w:sz="6" w:space="0" w:color="000000"/>
              <w:bottom w:val="outset" w:sz="6" w:space="0" w:color="000000"/>
            </w:tcBorders>
          </w:tcPr>
          <w:p w:rsidR="00E571FE" w:rsidRPr="00EA597E" w:rsidRDefault="00E571FE" w:rsidP="00BF6E4D">
            <w:pPr>
              <w:pStyle w:val="Footer"/>
              <w:tabs>
                <w:tab w:val="clear" w:pos="4153"/>
                <w:tab w:val="clear" w:pos="8306"/>
              </w:tabs>
              <w:snapToGrid/>
              <w:jc w:val="both"/>
              <w:rPr>
                <w:rFonts w:ascii="Times New Roman" w:hAnsi="Times New Roman"/>
                <w:sz w:val="24"/>
                <w:szCs w:val="24"/>
              </w:rPr>
            </w:pPr>
            <w:r w:rsidRPr="00EA597E">
              <w:rPr>
                <w:rFonts w:ascii="Times New Roman" w:hAnsi="Times New Roman"/>
                <w:sz w:val="24"/>
                <w:szCs w:val="24"/>
              </w:rPr>
              <w:t>Nav</w:t>
            </w:r>
          </w:p>
        </w:tc>
      </w:tr>
    </w:tbl>
    <w:p w:rsidR="000229C0" w:rsidRDefault="000229C0" w:rsidP="000229C0">
      <w:pPr>
        <w:jc w:val="both"/>
        <w:rPr>
          <w:bCs/>
          <w:sz w:val="28"/>
          <w:szCs w:val="28"/>
        </w:rPr>
      </w:pPr>
    </w:p>
    <w:p w:rsidR="005E0165" w:rsidRPr="00EA597E" w:rsidRDefault="005E0165" w:rsidP="000229C0">
      <w:pPr>
        <w:jc w:val="both"/>
        <w:rPr>
          <w:bCs/>
          <w:sz w:val="28"/>
          <w:szCs w:val="28"/>
        </w:rPr>
      </w:pPr>
    </w:p>
    <w:p w:rsidR="000229C0" w:rsidRPr="00EA597E" w:rsidRDefault="003209D4" w:rsidP="000229C0">
      <w:pPr>
        <w:jc w:val="both"/>
      </w:pPr>
      <w:r>
        <w:rPr>
          <w:bCs/>
          <w:sz w:val="28"/>
          <w:szCs w:val="28"/>
        </w:rPr>
        <w:t>Veselības ministrs</w:t>
      </w:r>
      <w:r w:rsidR="000229C0" w:rsidRPr="00EA597E">
        <w:rPr>
          <w:bCs/>
          <w:sz w:val="28"/>
          <w:szCs w:val="28"/>
        </w:rPr>
        <w:tab/>
        <w:t xml:space="preserve">                          </w:t>
      </w:r>
      <w:r>
        <w:rPr>
          <w:bCs/>
          <w:sz w:val="28"/>
          <w:szCs w:val="28"/>
        </w:rPr>
        <w:t xml:space="preserve">                                        </w:t>
      </w:r>
      <w:proofErr w:type="spellStart"/>
      <w:r>
        <w:rPr>
          <w:bCs/>
          <w:sz w:val="28"/>
          <w:szCs w:val="28"/>
        </w:rPr>
        <w:t>G.Belēvičs</w:t>
      </w:r>
      <w:proofErr w:type="spellEnd"/>
    </w:p>
    <w:p w:rsidR="00F770BA" w:rsidRDefault="00F770BA" w:rsidP="00BF6E4D">
      <w:pPr>
        <w:jc w:val="both"/>
        <w:rPr>
          <w:sz w:val="22"/>
          <w:szCs w:val="22"/>
        </w:rPr>
      </w:pPr>
    </w:p>
    <w:p w:rsidR="00C51688" w:rsidRDefault="00C51688" w:rsidP="00BF6E4D">
      <w:pPr>
        <w:jc w:val="both"/>
        <w:rPr>
          <w:sz w:val="22"/>
          <w:szCs w:val="22"/>
        </w:rPr>
      </w:pPr>
    </w:p>
    <w:p w:rsidR="00C51688" w:rsidRDefault="00C51688" w:rsidP="00BF6E4D">
      <w:pPr>
        <w:jc w:val="both"/>
        <w:rPr>
          <w:sz w:val="22"/>
          <w:szCs w:val="22"/>
        </w:rPr>
      </w:pPr>
    </w:p>
    <w:p w:rsidR="00C51688" w:rsidRDefault="00C51688" w:rsidP="00BF6E4D">
      <w:pPr>
        <w:jc w:val="both"/>
        <w:rPr>
          <w:sz w:val="22"/>
          <w:szCs w:val="22"/>
        </w:rPr>
      </w:pPr>
    </w:p>
    <w:p w:rsidR="00194D09" w:rsidRDefault="00194D09" w:rsidP="00BF6E4D">
      <w:pPr>
        <w:jc w:val="both"/>
        <w:rPr>
          <w:sz w:val="22"/>
          <w:szCs w:val="22"/>
        </w:rPr>
      </w:pPr>
    </w:p>
    <w:p w:rsidR="00C51688" w:rsidRDefault="00C51688"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613BE7" w:rsidRDefault="00613BE7" w:rsidP="00BF6E4D">
      <w:pPr>
        <w:jc w:val="both"/>
        <w:rPr>
          <w:sz w:val="22"/>
          <w:szCs w:val="22"/>
        </w:rPr>
      </w:pPr>
    </w:p>
    <w:p w:rsidR="00613BE7" w:rsidRPr="00EA597E" w:rsidRDefault="00613BE7" w:rsidP="00BF6E4D">
      <w:pPr>
        <w:jc w:val="both"/>
        <w:rPr>
          <w:sz w:val="22"/>
          <w:szCs w:val="22"/>
        </w:rPr>
      </w:pPr>
    </w:p>
    <w:p w:rsidR="000229C0" w:rsidRDefault="001A17A1" w:rsidP="000229C0">
      <w:pPr>
        <w:jc w:val="both"/>
      </w:pPr>
      <w:r>
        <w:t>30</w:t>
      </w:r>
      <w:r w:rsidR="00F3236B">
        <w:t>.06</w:t>
      </w:r>
      <w:r w:rsidR="009F6390">
        <w:t xml:space="preserve">.2015. </w:t>
      </w:r>
      <w:r w:rsidR="00613BE7">
        <w:t>14:18</w:t>
      </w:r>
    </w:p>
    <w:p w:rsidR="00EA597E" w:rsidRPr="00EA597E" w:rsidRDefault="002C71D8" w:rsidP="000229C0">
      <w:pPr>
        <w:jc w:val="both"/>
      </w:pPr>
      <w:r>
        <w:t>4</w:t>
      </w:r>
      <w:r w:rsidR="00613BE7">
        <w:t>412</w:t>
      </w:r>
    </w:p>
    <w:p w:rsidR="000229C0" w:rsidRPr="00EA597E" w:rsidRDefault="000229C0" w:rsidP="000229C0">
      <w:pPr>
        <w:jc w:val="both"/>
      </w:pPr>
      <w:bookmarkStart w:id="3" w:name="OLE_LINK1"/>
      <w:bookmarkStart w:id="4" w:name="OLE_LINK2"/>
      <w:bookmarkStart w:id="5" w:name="OLE_LINK3"/>
      <w:r w:rsidRPr="00EA597E">
        <w:t>S.Lazdiņa,</w:t>
      </w:r>
    </w:p>
    <w:p w:rsidR="000229C0" w:rsidRPr="00EA597E" w:rsidRDefault="000D37E8" w:rsidP="000229C0">
      <w:pPr>
        <w:jc w:val="both"/>
      </w:pPr>
      <w:hyperlink r:id="rId8" w:history="1">
        <w:r w:rsidR="000229C0" w:rsidRPr="00EA597E">
          <w:rPr>
            <w:rStyle w:val="Hyperlink"/>
          </w:rPr>
          <w:t>sanita.lazdina@vm.gov.lv</w:t>
        </w:r>
      </w:hyperlink>
    </w:p>
    <w:p w:rsidR="00F24D04" w:rsidRPr="00EA597E" w:rsidRDefault="000229C0" w:rsidP="000229C0">
      <w:pPr>
        <w:jc w:val="both"/>
      </w:pPr>
      <w:r w:rsidRPr="00EA597E">
        <w:rPr>
          <w:rFonts w:eastAsia="Calibri"/>
          <w:color w:val="000000"/>
        </w:rPr>
        <w:t>67876074</w:t>
      </w:r>
      <w:bookmarkEnd w:id="3"/>
      <w:bookmarkEnd w:id="4"/>
      <w:bookmarkEnd w:id="5"/>
    </w:p>
    <w:sectPr w:rsidR="00F24D04" w:rsidRPr="00EA597E" w:rsidSect="00194D09">
      <w:headerReference w:type="even" r:id="rId9"/>
      <w:headerReference w:type="default" r:id="rId10"/>
      <w:footerReference w:type="default" r:id="rId11"/>
      <w:footerReference w:type="first" r:id="rId12"/>
      <w:pgSz w:w="11906" w:h="16838" w:code="9"/>
      <w:pgMar w:top="1134" w:right="1134" w:bottom="1134" w:left="1701" w:header="720" w:footer="10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18" w:rsidRDefault="00476218" w:rsidP="009759E7">
      <w:r>
        <w:separator/>
      </w:r>
    </w:p>
  </w:endnote>
  <w:endnote w:type="continuationSeparator" w:id="0">
    <w:p w:rsidR="00476218" w:rsidRDefault="00476218"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09" w:rsidRDefault="00194D09" w:rsidP="006A5796">
    <w:pPr>
      <w:pStyle w:val="Footer"/>
      <w:jc w:val="both"/>
      <w:rPr>
        <w:rFonts w:ascii="Times New Roman" w:hAnsi="Times New Roman"/>
        <w:sz w:val="20"/>
      </w:rPr>
    </w:pPr>
  </w:p>
  <w:p w:rsidR="00476218" w:rsidRPr="000229C0" w:rsidRDefault="00E91F24" w:rsidP="006A5796">
    <w:pPr>
      <w:pStyle w:val="Footer"/>
      <w:jc w:val="both"/>
      <w:rPr>
        <w:rFonts w:ascii="Times New Roman" w:hAnsi="Times New Roman"/>
      </w:rPr>
    </w:pPr>
    <w:r>
      <w:rPr>
        <w:rFonts w:ascii="Times New Roman" w:hAnsi="Times New Roman"/>
        <w:sz w:val="20"/>
      </w:rPr>
      <w:t>VMAnot_30</w:t>
    </w:r>
    <w:r w:rsidR="00476218">
      <w:rPr>
        <w:rFonts w:ascii="Times New Roman" w:hAnsi="Times New Roman"/>
        <w:sz w:val="20"/>
      </w:rPr>
      <w:t>0615_MK_</w:t>
    </w:r>
    <w:r w:rsidR="00476218" w:rsidRPr="009C792E">
      <w:rPr>
        <w:rFonts w:ascii="Times New Roman" w:hAnsi="Times New Roman"/>
        <w:sz w:val="20"/>
      </w:rPr>
      <w:t xml:space="preserve">transtauki; </w:t>
    </w:r>
    <w:bookmarkStart w:id="6" w:name="OLE_LINK6"/>
    <w:bookmarkStart w:id="7" w:name="OLE_LINK9"/>
    <w:bookmarkStart w:id="8" w:name="OLE_LINK4"/>
    <w:bookmarkStart w:id="9" w:name="OLE_LINK5"/>
    <w:bookmarkStart w:id="10" w:name="_Hlk401153765"/>
    <w:r w:rsidR="00476218" w:rsidRPr="009C792E">
      <w:rPr>
        <w:rFonts w:ascii="Times New Roman" w:hAnsi="Times New Roman"/>
        <w:bCs/>
        <w:sz w:val="20"/>
      </w:rPr>
      <w:t>Ministru kabineta noteikumu projekta  „Noteikumi par maksimāli pieļaujamo trans-taukskābju daudzumu pārtikas produktos”</w:t>
    </w:r>
    <w:bookmarkEnd w:id="6"/>
    <w:bookmarkEnd w:id="7"/>
    <w:r w:rsidR="00476218">
      <w:rPr>
        <w:rFonts w:ascii="Times New Roman" w:hAnsi="Times New Roman"/>
        <w:bCs/>
        <w:sz w:val="20"/>
      </w:rPr>
      <w:t xml:space="preserve"> </w:t>
    </w:r>
    <w:r w:rsidR="00476218" w:rsidRPr="009C792E">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00476218" w:rsidRPr="009C792E">
        <w:rPr>
          <w:rFonts w:ascii="Times New Roman" w:hAnsi="Times New Roman"/>
          <w:sz w:val="20"/>
        </w:rPr>
        <w:t>ziņojums</w:t>
      </w:r>
    </w:smartTag>
    <w:r w:rsidR="00476218" w:rsidRPr="009C792E">
      <w:rPr>
        <w:rFonts w:ascii="Times New Roman" w:hAnsi="Times New Roman"/>
        <w:bCs/>
        <w:sz w:val="20"/>
      </w:rPr>
      <w:t xml:space="preserve"> (anotācija)</w:t>
    </w:r>
    <w:bookmarkEnd w:id="8"/>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18" w:rsidRPr="009C792E" w:rsidRDefault="00E91F24" w:rsidP="00002814">
    <w:pPr>
      <w:pStyle w:val="Footer"/>
      <w:jc w:val="both"/>
      <w:rPr>
        <w:rFonts w:ascii="Times New Roman" w:hAnsi="Times New Roman"/>
      </w:rPr>
    </w:pPr>
    <w:r>
      <w:rPr>
        <w:rFonts w:ascii="Times New Roman" w:hAnsi="Times New Roman"/>
        <w:sz w:val="20"/>
      </w:rPr>
      <w:t>VMAnot_30</w:t>
    </w:r>
    <w:r w:rsidR="00476218">
      <w:rPr>
        <w:rFonts w:ascii="Times New Roman" w:hAnsi="Times New Roman"/>
        <w:sz w:val="20"/>
      </w:rPr>
      <w:t>0615_MK_</w:t>
    </w:r>
    <w:r w:rsidR="00476218" w:rsidRPr="009C792E">
      <w:rPr>
        <w:rFonts w:ascii="Times New Roman" w:hAnsi="Times New Roman"/>
        <w:sz w:val="20"/>
      </w:rPr>
      <w:t xml:space="preserve">transtauki; </w:t>
    </w:r>
    <w:r w:rsidR="00476218" w:rsidRPr="009C792E">
      <w:rPr>
        <w:rFonts w:ascii="Times New Roman" w:hAnsi="Times New Roman"/>
        <w:bCs/>
        <w:sz w:val="20"/>
      </w:rPr>
      <w:t>Ministru kabineta noteikumu projekta  „Noteikumi par maksimāli pieļaujamo trans-taukskābju daudzumu pārtikas produktos”</w:t>
    </w:r>
    <w:r w:rsidR="00476218">
      <w:rPr>
        <w:rFonts w:ascii="Times New Roman" w:hAnsi="Times New Roman"/>
        <w:bCs/>
        <w:sz w:val="20"/>
      </w:rPr>
      <w:t xml:space="preserve"> </w:t>
    </w:r>
    <w:r w:rsidR="00476218" w:rsidRPr="009C792E">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00476218" w:rsidRPr="009C792E">
        <w:rPr>
          <w:rFonts w:ascii="Times New Roman" w:hAnsi="Times New Roman"/>
          <w:sz w:val="20"/>
        </w:rPr>
        <w:t>ziņojums</w:t>
      </w:r>
    </w:smartTag>
    <w:r w:rsidR="00476218" w:rsidRPr="009C792E">
      <w:rPr>
        <w:rFonts w:ascii="Times New Roman" w:hAnsi="Times New Roman"/>
        <w:bCs/>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18" w:rsidRDefault="00476218" w:rsidP="009759E7">
      <w:r>
        <w:separator/>
      </w:r>
    </w:p>
  </w:footnote>
  <w:footnote w:type="continuationSeparator" w:id="0">
    <w:p w:rsidR="00476218" w:rsidRDefault="00476218" w:rsidP="009759E7">
      <w:r>
        <w:continuationSeparator/>
      </w:r>
    </w:p>
  </w:footnote>
  <w:footnote w:id="1">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1" w:history="1">
        <w:r w:rsidRPr="00CA36C2">
          <w:rPr>
            <w:rStyle w:val="Hyperlink"/>
            <w:sz w:val="18"/>
            <w:szCs w:val="18"/>
          </w:rPr>
          <w:t>http://www.europarl.europa.eu/RegData/etudes/etudes/join/2008/408584/IPOL-JOIN_ET(2008)408584_EN.pdf</w:t>
        </w:r>
      </w:hyperlink>
    </w:p>
  </w:footnote>
  <w:footnote w:id="2">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hyperlink r:id="rId2" w:history="1">
        <w:r w:rsidRPr="00CA36C2">
          <w:rPr>
            <w:rStyle w:val="Hyperlink"/>
            <w:rFonts w:ascii="Times New Roman" w:hAnsi="Times New Roman"/>
            <w:sz w:val="18"/>
            <w:szCs w:val="18"/>
          </w:rPr>
          <w:t>http://eur-lex.europa.eu/legal-content/LV/TXT/?uri=celex:32011R1169</w:t>
        </w:r>
      </w:hyperlink>
    </w:p>
  </w:footnote>
  <w:footnote w:id="3">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Dānijas likumdošana par trans-taukskābēm - </w:t>
      </w:r>
      <w:hyperlink r:id="rId3" w:history="1">
        <w:r w:rsidRPr="00CA36C2">
          <w:rPr>
            <w:rStyle w:val="Hyperlink"/>
            <w:sz w:val="18"/>
            <w:szCs w:val="18"/>
          </w:rPr>
          <w:t>http://www.foedevarestyrelsen.dk/english/Food/Trans%20fatty%20acids/Pages/default.aspx</w:t>
        </w:r>
      </w:hyperlink>
    </w:p>
  </w:footnote>
  <w:footnote w:id="4">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Austrijas likumdošana par trans-taukskābēm - </w:t>
      </w:r>
      <w:hyperlink r:id="rId4" w:history="1">
        <w:r w:rsidRPr="00CA36C2">
          <w:rPr>
            <w:rStyle w:val="Hyperlink"/>
            <w:rFonts w:ascii="Times New Roman" w:hAnsi="Times New Roman"/>
            <w:sz w:val="18"/>
            <w:szCs w:val="18"/>
          </w:rPr>
          <w:t>http://www.ris.bka.gv.at/GeltendeFassung.wxe?Abfrage=Bundesnormen&amp;Gesetzesnummer=20006420</w:t>
        </w:r>
      </w:hyperlink>
    </w:p>
  </w:footnote>
  <w:footnote w:id="5">
    <w:p w:rsidR="00476218" w:rsidRPr="00CA36C2" w:rsidRDefault="00476218" w:rsidP="00EC04CE">
      <w:pPr>
        <w:pStyle w:val="Default"/>
        <w:rPr>
          <w:rFonts w:eastAsiaTheme="minorHAnsi"/>
          <w:sz w:val="18"/>
          <w:szCs w:val="18"/>
        </w:rPr>
      </w:pPr>
      <w:r w:rsidRPr="00CA36C2">
        <w:rPr>
          <w:rStyle w:val="FootnoteReference"/>
          <w:sz w:val="18"/>
          <w:szCs w:val="18"/>
        </w:rPr>
        <w:footnoteRef/>
      </w:r>
      <w:r w:rsidRPr="00CA36C2">
        <w:rPr>
          <w:sz w:val="18"/>
          <w:szCs w:val="18"/>
        </w:rPr>
        <w:t xml:space="preserve"> EK sniegtā nepublicētā informācija (</w:t>
      </w:r>
      <w:proofErr w:type="spellStart"/>
      <w:r w:rsidRPr="00CA36C2">
        <w:rPr>
          <w:rFonts w:eastAsiaTheme="minorHAnsi"/>
          <w:bCs/>
          <w:sz w:val="18"/>
          <w:szCs w:val="18"/>
        </w:rPr>
        <w:t>Preliminary</w:t>
      </w:r>
      <w:proofErr w:type="spellEnd"/>
      <w:r w:rsidRPr="00CA36C2">
        <w:rPr>
          <w:rFonts w:eastAsiaTheme="minorHAnsi"/>
          <w:bCs/>
          <w:sz w:val="18"/>
          <w:szCs w:val="18"/>
        </w:rPr>
        <w:t xml:space="preserve"> </w:t>
      </w:r>
      <w:proofErr w:type="spellStart"/>
      <w:r w:rsidRPr="00CA36C2">
        <w:rPr>
          <w:rFonts w:eastAsiaTheme="minorHAnsi"/>
          <w:bCs/>
          <w:sz w:val="18"/>
          <w:szCs w:val="18"/>
        </w:rPr>
        <w:t>Results</w:t>
      </w:r>
      <w:proofErr w:type="spellEnd"/>
      <w:r w:rsidRPr="00CA36C2">
        <w:rPr>
          <w:rFonts w:eastAsiaTheme="minorHAnsi"/>
          <w:bCs/>
          <w:sz w:val="18"/>
          <w:szCs w:val="18"/>
        </w:rPr>
        <w:t xml:space="preserve"> </w:t>
      </w:r>
      <w:proofErr w:type="spellStart"/>
      <w:r w:rsidRPr="00CA36C2">
        <w:rPr>
          <w:rFonts w:eastAsiaTheme="minorHAnsi"/>
          <w:bCs/>
          <w:sz w:val="18"/>
          <w:szCs w:val="18"/>
        </w:rPr>
        <w:t>of</w:t>
      </w:r>
      <w:proofErr w:type="spellEnd"/>
      <w:r w:rsidRPr="00CA36C2">
        <w:rPr>
          <w:rFonts w:eastAsiaTheme="minorHAnsi"/>
          <w:bCs/>
          <w:sz w:val="18"/>
          <w:szCs w:val="18"/>
        </w:rPr>
        <w:t xml:space="preserve"> </w:t>
      </w:r>
      <w:proofErr w:type="spellStart"/>
      <w:r w:rsidRPr="00CA36C2">
        <w:rPr>
          <w:rFonts w:eastAsiaTheme="minorHAnsi"/>
          <w:bCs/>
          <w:sz w:val="18"/>
          <w:szCs w:val="18"/>
        </w:rPr>
        <w:t>the</w:t>
      </w:r>
      <w:proofErr w:type="spellEnd"/>
      <w:r w:rsidRPr="00CA36C2">
        <w:rPr>
          <w:rFonts w:eastAsiaTheme="minorHAnsi"/>
          <w:bCs/>
          <w:sz w:val="18"/>
          <w:szCs w:val="18"/>
        </w:rPr>
        <w:t xml:space="preserve"> </w:t>
      </w:r>
      <w:proofErr w:type="spellStart"/>
      <w:r w:rsidRPr="00CA36C2">
        <w:rPr>
          <w:rFonts w:eastAsiaTheme="minorHAnsi"/>
          <w:bCs/>
          <w:sz w:val="18"/>
          <w:szCs w:val="18"/>
        </w:rPr>
        <w:t>Member</w:t>
      </w:r>
      <w:proofErr w:type="spellEnd"/>
      <w:r w:rsidRPr="00CA36C2">
        <w:rPr>
          <w:rFonts w:eastAsiaTheme="minorHAnsi"/>
          <w:bCs/>
          <w:sz w:val="18"/>
          <w:szCs w:val="18"/>
        </w:rPr>
        <w:t xml:space="preserve"> </w:t>
      </w:r>
      <w:proofErr w:type="spellStart"/>
      <w:r w:rsidRPr="00CA36C2">
        <w:rPr>
          <w:rFonts w:eastAsiaTheme="minorHAnsi"/>
          <w:bCs/>
          <w:sz w:val="18"/>
          <w:szCs w:val="18"/>
        </w:rPr>
        <w:t>State</w:t>
      </w:r>
      <w:proofErr w:type="spellEnd"/>
      <w:r w:rsidRPr="00CA36C2">
        <w:rPr>
          <w:rFonts w:eastAsiaTheme="minorHAnsi"/>
          <w:bCs/>
          <w:sz w:val="18"/>
          <w:szCs w:val="18"/>
        </w:rPr>
        <w:t xml:space="preserve"> </w:t>
      </w:r>
      <w:proofErr w:type="spellStart"/>
      <w:r w:rsidRPr="00CA36C2">
        <w:rPr>
          <w:rFonts w:eastAsiaTheme="minorHAnsi"/>
          <w:bCs/>
          <w:sz w:val="18"/>
          <w:szCs w:val="18"/>
        </w:rPr>
        <w:t>survey</w:t>
      </w:r>
      <w:proofErr w:type="spellEnd"/>
      <w:r w:rsidRPr="00CA36C2">
        <w:rPr>
          <w:rFonts w:eastAsiaTheme="minorHAnsi"/>
          <w:bCs/>
          <w:sz w:val="18"/>
          <w:szCs w:val="18"/>
        </w:rPr>
        <w:t xml:space="preserve"> </w:t>
      </w:r>
      <w:proofErr w:type="spellStart"/>
      <w:r w:rsidRPr="00CA36C2">
        <w:rPr>
          <w:rFonts w:eastAsiaTheme="minorHAnsi"/>
          <w:bCs/>
          <w:sz w:val="18"/>
          <w:szCs w:val="18"/>
        </w:rPr>
        <w:t>on</w:t>
      </w:r>
      <w:proofErr w:type="spellEnd"/>
      <w:r w:rsidRPr="00CA36C2">
        <w:rPr>
          <w:rFonts w:eastAsiaTheme="minorHAnsi"/>
          <w:bCs/>
          <w:sz w:val="18"/>
          <w:szCs w:val="18"/>
        </w:rPr>
        <w:t xml:space="preserve"> trans </w:t>
      </w:r>
      <w:proofErr w:type="spellStart"/>
      <w:r w:rsidRPr="00CA36C2">
        <w:rPr>
          <w:rFonts w:eastAsiaTheme="minorHAnsi"/>
          <w:bCs/>
          <w:sz w:val="18"/>
          <w:szCs w:val="18"/>
        </w:rPr>
        <w:t>fatty</w:t>
      </w:r>
      <w:proofErr w:type="spellEnd"/>
      <w:r w:rsidRPr="00CA36C2">
        <w:rPr>
          <w:rFonts w:eastAsiaTheme="minorHAnsi"/>
          <w:bCs/>
          <w:sz w:val="18"/>
          <w:szCs w:val="18"/>
        </w:rPr>
        <w:t xml:space="preserve"> </w:t>
      </w:r>
      <w:proofErr w:type="spellStart"/>
      <w:r w:rsidRPr="00CA36C2">
        <w:rPr>
          <w:rFonts w:eastAsiaTheme="minorHAnsi"/>
          <w:bCs/>
          <w:sz w:val="18"/>
          <w:szCs w:val="18"/>
        </w:rPr>
        <w:t>acids</w:t>
      </w:r>
      <w:proofErr w:type="spellEnd"/>
      <w:r w:rsidRPr="00CA36C2">
        <w:rPr>
          <w:rFonts w:eastAsiaTheme="minorHAnsi"/>
          <w:bCs/>
          <w:sz w:val="18"/>
          <w:szCs w:val="18"/>
        </w:rPr>
        <w:t xml:space="preserve"> (TFA) </w:t>
      </w:r>
      <w:proofErr w:type="spellStart"/>
      <w:r w:rsidRPr="00CA36C2">
        <w:rPr>
          <w:rFonts w:eastAsiaTheme="minorHAnsi"/>
          <w:bCs/>
          <w:sz w:val="18"/>
          <w:szCs w:val="18"/>
        </w:rPr>
        <w:t>in</w:t>
      </w:r>
      <w:proofErr w:type="spellEnd"/>
      <w:r w:rsidRPr="00CA36C2">
        <w:rPr>
          <w:rFonts w:eastAsiaTheme="minorHAnsi"/>
          <w:bCs/>
          <w:sz w:val="18"/>
          <w:szCs w:val="18"/>
        </w:rPr>
        <w:t xml:space="preserve"> </w:t>
      </w:r>
      <w:proofErr w:type="spellStart"/>
      <w:r w:rsidRPr="00CA36C2">
        <w:rPr>
          <w:rFonts w:eastAsiaTheme="minorHAnsi"/>
          <w:bCs/>
          <w:sz w:val="18"/>
          <w:szCs w:val="18"/>
        </w:rPr>
        <w:t>foodstuffs</w:t>
      </w:r>
      <w:proofErr w:type="spellEnd"/>
      <w:r w:rsidRPr="00CA36C2">
        <w:rPr>
          <w:rFonts w:eastAsiaTheme="minorHAnsi"/>
          <w:bCs/>
          <w:sz w:val="18"/>
          <w:szCs w:val="18"/>
        </w:rPr>
        <w:t xml:space="preserve"> </w:t>
      </w:r>
      <w:proofErr w:type="spellStart"/>
      <w:r w:rsidRPr="00CA36C2">
        <w:rPr>
          <w:rFonts w:eastAsiaTheme="minorHAnsi"/>
          <w:bCs/>
          <w:sz w:val="18"/>
          <w:szCs w:val="18"/>
        </w:rPr>
        <w:t>in</w:t>
      </w:r>
      <w:proofErr w:type="spellEnd"/>
      <w:r w:rsidRPr="00CA36C2">
        <w:rPr>
          <w:rFonts w:eastAsiaTheme="minorHAnsi"/>
          <w:bCs/>
          <w:sz w:val="18"/>
          <w:szCs w:val="18"/>
        </w:rPr>
        <w:t xml:space="preserve"> </w:t>
      </w:r>
      <w:proofErr w:type="spellStart"/>
      <w:r w:rsidRPr="00CA36C2">
        <w:rPr>
          <w:rFonts w:eastAsiaTheme="minorHAnsi"/>
          <w:bCs/>
          <w:sz w:val="18"/>
          <w:szCs w:val="18"/>
        </w:rPr>
        <w:t>Europe</w:t>
      </w:r>
      <w:proofErr w:type="spellEnd"/>
      <w:r w:rsidRPr="00CA36C2">
        <w:rPr>
          <w:rFonts w:eastAsiaTheme="minorHAnsi"/>
          <w:bCs/>
          <w:sz w:val="18"/>
          <w:szCs w:val="18"/>
        </w:rPr>
        <w:t>)</w:t>
      </w:r>
    </w:p>
  </w:footnote>
  <w:footnote w:id="6">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5" w:history="1">
        <w:r w:rsidRPr="00CA36C2">
          <w:rPr>
            <w:rStyle w:val="Hyperlink"/>
            <w:sz w:val="18"/>
            <w:szCs w:val="18"/>
          </w:rPr>
          <w:t>http://www.europarl.europa.eu/RegData/etudes/etudes/join/2008/408584/IPOLJOIN_ET%282008%29408584_EN.pdf</w:t>
        </w:r>
      </w:hyperlink>
      <w:r w:rsidRPr="00CA36C2">
        <w:rPr>
          <w:sz w:val="18"/>
          <w:szCs w:val="18"/>
        </w:rPr>
        <w:t>.</w:t>
      </w:r>
    </w:p>
  </w:footnote>
  <w:footnote w:id="7">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Islandes likumdošana par trans-taukskābēm-</w:t>
      </w:r>
      <w:hyperlink r:id="rId6" w:history="1">
        <w:r w:rsidRPr="00CA36C2">
          <w:rPr>
            <w:rStyle w:val="Hyperlink"/>
            <w:rFonts w:ascii="Times New Roman" w:hAnsi="Times New Roman"/>
            <w:sz w:val="18"/>
            <w:szCs w:val="18"/>
          </w:rPr>
          <w:t>http://www.eurofoodlaw.com/country-reports/iceland-to-restrict-trans-fats</w:t>
        </w:r>
      </w:hyperlink>
    </w:p>
  </w:footnote>
  <w:footnote w:id="8">
    <w:p w:rsidR="00476218" w:rsidRPr="00CA36C2" w:rsidRDefault="00476218" w:rsidP="00EC04CE">
      <w:pPr>
        <w:pStyle w:val="Default"/>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7" w:history="1">
        <w:r w:rsidRPr="00CA36C2">
          <w:rPr>
            <w:rStyle w:val="Hyperlink"/>
            <w:sz w:val="18"/>
            <w:szCs w:val="18"/>
          </w:rPr>
          <w:t>http://www.europarl.europa.eu/RegData/etudes/etudes/join/2008/408584/IPOL-JOIN_ET(2008)408584_EN.pdf</w:t>
        </w:r>
      </w:hyperlink>
    </w:p>
  </w:footnote>
  <w:footnote w:id="9">
    <w:p w:rsidR="00476218" w:rsidRPr="009B5B30"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Department</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Economic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Scientific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Trans </w:t>
      </w:r>
      <w:proofErr w:type="spellStart"/>
      <w:r w:rsidRPr="00CA36C2">
        <w:rPr>
          <w:rFonts w:ascii="Times New Roman" w:hAnsi="Times New Roman"/>
          <w:sz w:val="18"/>
          <w:szCs w:val="18"/>
        </w:rPr>
        <w:t>Fatty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Acids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A </w:t>
      </w:r>
      <w:proofErr w:type="spellStart"/>
      <w:r w:rsidRPr="00CA36C2">
        <w:rPr>
          <w:rFonts w:ascii="Times New Roman" w:hAnsi="Times New Roman"/>
          <w:sz w:val="18"/>
          <w:szCs w:val="18"/>
        </w:rPr>
        <w:t>Review</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of</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Hazards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8" w:history="1">
        <w:r w:rsidRPr="00530752">
          <w:rPr>
            <w:rStyle w:val="Hyperlink"/>
            <w:rFonts w:ascii="Times New Roman" w:hAnsi="Times New Roman"/>
            <w:sz w:val="18"/>
            <w:szCs w:val="18"/>
          </w:rPr>
          <w:t>http://www.europarl.europa.eu/RegData/etudes/etudes/join/2008/408584/IPOL-JOIN_ET(2008)408584_EN.pdf</w:t>
        </w:r>
      </w:hyperlink>
    </w:p>
  </w:footnote>
  <w:footnote w:id="10">
    <w:p w:rsidR="00476218" w:rsidRPr="009B5B30" w:rsidRDefault="00476218" w:rsidP="00EC04CE">
      <w:pPr>
        <w:pStyle w:val="FootnoteText"/>
        <w:rPr>
          <w:rFonts w:ascii="Times New Roman" w:hAnsi="Times New Roman"/>
          <w:sz w:val="18"/>
          <w:szCs w:val="18"/>
        </w:rPr>
      </w:pPr>
      <w:r w:rsidRPr="009B5B30">
        <w:rPr>
          <w:rStyle w:val="FootnoteReference"/>
          <w:rFonts w:ascii="Times New Roman" w:hAnsi="Times New Roman"/>
          <w:sz w:val="18"/>
          <w:szCs w:val="18"/>
        </w:rPr>
        <w:footnoteRef/>
      </w:r>
      <w:r>
        <w:rPr>
          <w:rFonts w:ascii="Times New Roman" w:hAnsi="Times New Roman"/>
          <w:sz w:val="18"/>
          <w:szCs w:val="18"/>
        </w:rPr>
        <w:t xml:space="preserve"> </w:t>
      </w:r>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Department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Economic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Scientific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Trans </w:t>
      </w:r>
      <w:proofErr w:type="spellStart"/>
      <w:r w:rsidRPr="009B5B30">
        <w:rPr>
          <w:rFonts w:ascii="Times New Roman" w:hAnsi="Times New Roman"/>
          <w:sz w:val="18"/>
          <w:szCs w:val="18"/>
        </w:rPr>
        <w:t>Fatty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Acids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Review</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Hazards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9" w:history="1">
        <w:r w:rsidRPr="00530752">
          <w:rPr>
            <w:rStyle w:val="Hyperlink"/>
            <w:rFonts w:ascii="Times New Roman" w:hAnsi="Times New Roman"/>
            <w:sz w:val="18"/>
            <w:szCs w:val="18"/>
          </w:rPr>
          <w:t>http://www.europarl.europa.eu/RegData/etudes/etudes/join/2008/408584/IPOL-JOIN_ET(2008)408584_EN.pdf</w:t>
        </w:r>
      </w:hyperlink>
    </w:p>
  </w:footnote>
  <w:footnote w:id="11">
    <w:p w:rsidR="00476218" w:rsidRPr="009B5B30" w:rsidRDefault="00476218"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r w:rsidRPr="009B5B30">
        <w:rPr>
          <w:rFonts w:ascii="Times New Roman" w:hAnsi="Times New Roman"/>
          <w:sz w:val="18"/>
          <w:szCs w:val="18"/>
        </w:rPr>
        <w:t xml:space="preserve"> </w:t>
      </w:r>
      <w:proofErr w:type="spellStart"/>
      <w:r w:rsidRPr="009B5B30">
        <w:rPr>
          <w:rFonts w:ascii="Times New Roman" w:hAnsi="Times New Roman"/>
          <w:sz w:val="18"/>
          <w:szCs w:val="18"/>
        </w:rPr>
        <w:t>Stampfer</w:t>
      </w:r>
      <w:proofErr w:type="spellEnd"/>
      <w:r w:rsidRPr="009B5B30">
        <w:rPr>
          <w:rFonts w:ascii="Times New Roman" w:hAnsi="Times New Roman"/>
          <w:sz w:val="18"/>
          <w:szCs w:val="18"/>
        </w:rPr>
        <w:t xml:space="preserve"> MJ, </w:t>
      </w:r>
      <w:proofErr w:type="spellStart"/>
      <w:r w:rsidRPr="009B5B30">
        <w:rPr>
          <w:rFonts w:ascii="Times New Roman" w:hAnsi="Times New Roman"/>
          <w:sz w:val="18"/>
          <w:szCs w:val="18"/>
        </w:rPr>
        <w:t>Sacks</w:t>
      </w:r>
      <w:proofErr w:type="spellEnd"/>
      <w:r w:rsidRPr="009B5B30">
        <w:rPr>
          <w:rFonts w:ascii="Times New Roman" w:hAnsi="Times New Roman"/>
          <w:sz w:val="18"/>
          <w:szCs w:val="18"/>
        </w:rPr>
        <w:t xml:space="preserve"> FM, </w:t>
      </w:r>
      <w:proofErr w:type="spellStart"/>
      <w:r w:rsidRPr="009B5B30">
        <w:rPr>
          <w:rFonts w:ascii="Times New Roman" w:hAnsi="Times New Roman"/>
          <w:sz w:val="18"/>
          <w:szCs w:val="18"/>
        </w:rPr>
        <w:t>Salvini</w:t>
      </w:r>
      <w:proofErr w:type="spellEnd"/>
      <w:r w:rsidRPr="009B5B30">
        <w:rPr>
          <w:rFonts w:ascii="Times New Roman" w:hAnsi="Times New Roman"/>
          <w:sz w:val="18"/>
          <w:szCs w:val="18"/>
        </w:rPr>
        <w:t xml:space="preserve"> S, </w:t>
      </w:r>
      <w:proofErr w:type="spellStart"/>
      <w:r w:rsidRPr="009B5B30">
        <w:rPr>
          <w:rFonts w:ascii="Times New Roman" w:hAnsi="Times New Roman"/>
          <w:sz w:val="18"/>
          <w:szCs w:val="18"/>
        </w:rPr>
        <w:t>Willett</w:t>
      </w:r>
      <w:proofErr w:type="spellEnd"/>
      <w:r w:rsidRPr="009B5B30">
        <w:rPr>
          <w:rFonts w:ascii="Times New Roman" w:hAnsi="Times New Roman"/>
          <w:sz w:val="18"/>
          <w:szCs w:val="18"/>
        </w:rPr>
        <w:t xml:space="preserve"> WC, </w:t>
      </w:r>
      <w:proofErr w:type="spellStart"/>
      <w:r w:rsidRPr="009B5B30">
        <w:rPr>
          <w:rFonts w:ascii="Times New Roman" w:hAnsi="Times New Roman"/>
          <w:sz w:val="18"/>
          <w:szCs w:val="18"/>
        </w:rPr>
        <w:t>Hennekens</w:t>
      </w:r>
      <w:proofErr w:type="spellEnd"/>
      <w:r w:rsidRPr="009B5B30">
        <w:rPr>
          <w:rFonts w:ascii="Times New Roman" w:hAnsi="Times New Roman"/>
          <w:sz w:val="18"/>
          <w:szCs w:val="18"/>
        </w:rPr>
        <w:t xml:space="preserve"> CH. A </w:t>
      </w:r>
      <w:proofErr w:type="spellStart"/>
      <w:r w:rsidRPr="009B5B30">
        <w:rPr>
          <w:rFonts w:ascii="Times New Roman" w:hAnsi="Times New Roman"/>
          <w:sz w:val="18"/>
          <w:szCs w:val="18"/>
        </w:rPr>
        <w:t>prospective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study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cholesterol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apolipoproteins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risk</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myocardial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infarction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Style w:val="nlmsource"/>
          <w:rFonts w:ascii="Times New Roman" w:hAnsi="Times New Roman"/>
          <w:sz w:val="18"/>
          <w:szCs w:val="18"/>
        </w:rPr>
        <w:t>New</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England</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Journal</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of</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Medicine</w:t>
      </w:r>
      <w:proofErr w:type="spellEnd"/>
      <w:r w:rsidRPr="009B5B30">
        <w:rPr>
          <w:rFonts w:ascii="Times New Roman" w:hAnsi="Times New Roman"/>
          <w:sz w:val="18"/>
          <w:szCs w:val="18"/>
        </w:rPr>
        <w:t xml:space="preserve"> 1991;325:373-381</w:t>
      </w:r>
    </w:p>
  </w:footnote>
  <w:footnote w:id="12">
    <w:p w:rsidR="00476218" w:rsidRPr="0084187C" w:rsidRDefault="00476218" w:rsidP="00EC04CE">
      <w:pPr>
        <w:jc w:val="both"/>
        <w:rPr>
          <w:sz w:val="18"/>
          <w:szCs w:val="18"/>
        </w:rPr>
      </w:pPr>
      <w:r w:rsidRPr="0084187C">
        <w:rPr>
          <w:rStyle w:val="FootnoteReference"/>
          <w:sz w:val="18"/>
          <w:szCs w:val="18"/>
        </w:rPr>
        <w:footnoteRef/>
      </w:r>
      <w:r w:rsidRPr="0084187C">
        <w:rPr>
          <w:sz w:val="18"/>
          <w:szCs w:val="18"/>
        </w:rPr>
        <w:t xml:space="preserve"> </w:t>
      </w:r>
      <w:proofErr w:type="spellStart"/>
      <w:r w:rsidRPr="0084187C">
        <w:rPr>
          <w:sz w:val="18"/>
          <w:szCs w:val="18"/>
        </w:rPr>
        <w:t>Mauger</w:t>
      </w:r>
      <w:proofErr w:type="spellEnd"/>
      <w:r w:rsidRPr="0084187C">
        <w:rPr>
          <w:sz w:val="18"/>
          <w:szCs w:val="18"/>
        </w:rPr>
        <w:t xml:space="preserve"> JF, </w:t>
      </w:r>
      <w:proofErr w:type="spellStart"/>
      <w:r w:rsidRPr="0084187C">
        <w:rPr>
          <w:sz w:val="18"/>
          <w:szCs w:val="18"/>
        </w:rPr>
        <w:t>Lichtenstein</w:t>
      </w:r>
      <w:proofErr w:type="spellEnd"/>
      <w:r w:rsidRPr="0084187C">
        <w:rPr>
          <w:sz w:val="18"/>
          <w:szCs w:val="18"/>
        </w:rPr>
        <w:t xml:space="preserve"> AH, </w:t>
      </w:r>
      <w:proofErr w:type="spellStart"/>
      <w:r w:rsidRPr="0084187C">
        <w:rPr>
          <w:sz w:val="18"/>
          <w:szCs w:val="18"/>
        </w:rPr>
        <w:t>Ausman</w:t>
      </w:r>
      <w:proofErr w:type="spellEnd"/>
      <w:r w:rsidRPr="0084187C">
        <w:rPr>
          <w:sz w:val="18"/>
          <w:szCs w:val="18"/>
        </w:rPr>
        <w:t xml:space="preserve"> LM, </w:t>
      </w:r>
      <w:proofErr w:type="spellStart"/>
      <w:r w:rsidRPr="0084187C">
        <w:rPr>
          <w:sz w:val="18"/>
          <w:szCs w:val="18"/>
        </w:rPr>
        <w:t>et</w:t>
      </w:r>
      <w:proofErr w:type="spellEnd"/>
      <w:r w:rsidRPr="0084187C">
        <w:rPr>
          <w:sz w:val="18"/>
          <w:szCs w:val="18"/>
        </w:rPr>
        <w:t xml:space="preserve"> </w:t>
      </w:r>
      <w:proofErr w:type="spellStart"/>
      <w:r w:rsidRPr="0084187C">
        <w:rPr>
          <w:sz w:val="18"/>
          <w:szCs w:val="18"/>
        </w:rPr>
        <w:t>al</w:t>
      </w:r>
      <w:proofErr w:type="spellEnd"/>
      <w:r w:rsidRPr="0084187C">
        <w:rPr>
          <w:sz w:val="18"/>
          <w:szCs w:val="18"/>
        </w:rPr>
        <w:t xml:space="preserve">.  </w:t>
      </w:r>
      <w:proofErr w:type="spellStart"/>
      <w:r w:rsidRPr="0084187C">
        <w:rPr>
          <w:i/>
          <w:sz w:val="18"/>
          <w:szCs w:val="18"/>
        </w:rPr>
        <w:t>Effect</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different</w:t>
      </w:r>
      <w:proofErr w:type="spellEnd"/>
      <w:r w:rsidRPr="0084187C">
        <w:rPr>
          <w:i/>
          <w:sz w:val="18"/>
          <w:szCs w:val="18"/>
        </w:rPr>
        <w:t xml:space="preserve"> </w:t>
      </w:r>
      <w:proofErr w:type="spellStart"/>
      <w:r w:rsidRPr="0084187C">
        <w:rPr>
          <w:i/>
          <w:sz w:val="18"/>
          <w:szCs w:val="18"/>
        </w:rPr>
        <w:t>forms</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dietary</w:t>
      </w:r>
      <w:proofErr w:type="spellEnd"/>
      <w:r w:rsidRPr="0084187C">
        <w:rPr>
          <w:i/>
          <w:sz w:val="18"/>
          <w:szCs w:val="18"/>
        </w:rPr>
        <w:t xml:space="preserve"> </w:t>
      </w:r>
      <w:proofErr w:type="spellStart"/>
      <w:r w:rsidRPr="0084187C">
        <w:rPr>
          <w:i/>
          <w:sz w:val="18"/>
          <w:szCs w:val="18"/>
        </w:rPr>
        <w:t>hydrogenated</w:t>
      </w:r>
      <w:proofErr w:type="spellEnd"/>
      <w:r w:rsidRPr="0084187C">
        <w:rPr>
          <w:i/>
          <w:sz w:val="18"/>
          <w:szCs w:val="18"/>
        </w:rPr>
        <w:t xml:space="preserve"> </w:t>
      </w:r>
      <w:proofErr w:type="spellStart"/>
      <w:r w:rsidRPr="0084187C">
        <w:rPr>
          <w:i/>
          <w:sz w:val="18"/>
          <w:szCs w:val="18"/>
        </w:rPr>
        <w:t>fats</w:t>
      </w:r>
      <w:proofErr w:type="spellEnd"/>
      <w:r w:rsidRPr="0084187C">
        <w:rPr>
          <w:i/>
          <w:sz w:val="18"/>
          <w:szCs w:val="18"/>
        </w:rPr>
        <w:t xml:space="preserve"> </w:t>
      </w:r>
      <w:proofErr w:type="spellStart"/>
      <w:r w:rsidRPr="0084187C">
        <w:rPr>
          <w:i/>
          <w:sz w:val="18"/>
          <w:szCs w:val="18"/>
        </w:rPr>
        <w:t>on</w:t>
      </w:r>
      <w:proofErr w:type="spellEnd"/>
      <w:r w:rsidRPr="0084187C">
        <w:rPr>
          <w:i/>
          <w:sz w:val="18"/>
          <w:szCs w:val="18"/>
        </w:rPr>
        <w:t xml:space="preserve"> LDL </w:t>
      </w:r>
      <w:proofErr w:type="spellStart"/>
      <w:r w:rsidRPr="0084187C">
        <w:rPr>
          <w:i/>
          <w:sz w:val="18"/>
          <w:szCs w:val="18"/>
        </w:rPr>
        <w:t>particle</w:t>
      </w:r>
      <w:proofErr w:type="spellEnd"/>
      <w:r w:rsidRPr="0084187C">
        <w:rPr>
          <w:i/>
          <w:sz w:val="18"/>
          <w:szCs w:val="18"/>
        </w:rPr>
        <w:t xml:space="preserve"> </w:t>
      </w:r>
      <w:proofErr w:type="spellStart"/>
      <w:r w:rsidRPr="0084187C">
        <w:rPr>
          <w:i/>
          <w:sz w:val="18"/>
          <w:szCs w:val="18"/>
        </w:rPr>
        <w:t>size</w:t>
      </w:r>
      <w:proofErr w:type="spellEnd"/>
      <w:r w:rsidRPr="0084187C">
        <w:rPr>
          <w:sz w:val="18"/>
          <w:szCs w:val="18"/>
        </w:rPr>
        <w:t xml:space="preserve">. </w:t>
      </w:r>
      <w:proofErr w:type="spellStart"/>
      <w:r w:rsidRPr="0084187C">
        <w:rPr>
          <w:rStyle w:val="nlmsource"/>
          <w:sz w:val="18"/>
          <w:szCs w:val="18"/>
        </w:rPr>
        <w:t>Am</w:t>
      </w:r>
      <w:proofErr w:type="spellEnd"/>
      <w:r w:rsidRPr="0084187C">
        <w:rPr>
          <w:rStyle w:val="nlmsource"/>
          <w:sz w:val="18"/>
          <w:szCs w:val="18"/>
        </w:rPr>
        <w:t xml:space="preserve"> J </w:t>
      </w:r>
      <w:proofErr w:type="spellStart"/>
      <w:r w:rsidRPr="0084187C">
        <w:rPr>
          <w:rStyle w:val="nlmsource"/>
          <w:sz w:val="18"/>
          <w:szCs w:val="18"/>
        </w:rPr>
        <w:t>Clin</w:t>
      </w:r>
      <w:proofErr w:type="spellEnd"/>
      <w:r w:rsidRPr="0084187C">
        <w:rPr>
          <w:rStyle w:val="nlmsource"/>
          <w:sz w:val="18"/>
          <w:szCs w:val="18"/>
        </w:rPr>
        <w:t xml:space="preserve"> </w:t>
      </w:r>
      <w:proofErr w:type="spellStart"/>
      <w:r w:rsidRPr="0084187C">
        <w:rPr>
          <w:rStyle w:val="nlmsource"/>
          <w:sz w:val="18"/>
          <w:szCs w:val="18"/>
        </w:rPr>
        <w:t>Nutr</w:t>
      </w:r>
      <w:proofErr w:type="spellEnd"/>
      <w:r w:rsidRPr="0084187C">
        <w:rPr>
          <w:sz w:val="18"/>
          <w:szCs w:val="18"/>
        </w:rPr>
        <w:t xml:space="preserve"> 2003;78:370-375</w:t>
      </w:r>
    </w:p>
  </w:footnote>
  <w:footnote w:id="13">
    <w:p w:rsidR="00476218" w:rsidRPr="0067450B" w:rsidRDefault="00476218" w:rsidP="00EC04CE">
      <w:pPr>
        <w:pStyle w:val="Heading1"/>
        <w:jc w:val="both"/>
        <w:rPr>
          <w:b w:val="0"/>
          <w:sz w:val="18"/>
          <w:szCs w:val="18"/>
        </w:rPr>
      </w:pPr>
      <w:r w:rsidRPr="0084187C">
        <w:rPr>
          <w:rStyle w:val="FootnoteReference"/>
          <w:b w:val="0"/>
          <w:sz w:val="18"/>
          <w:szCs w:val="18"/>
        </w:rPr>
        <w:footnoteRef/>
      </w:r>
      <w:r w:rsidRPr="0084187C">
        <w:rPr>
          <w:b w:val="0"/>
          <w:sz w:val="18"/>
          <w:szCs w:val="18"/>
        </w:rPr>
        <w:t xml:space="preserve"> </w:t>
      </w:r>
      <w:proofErr w:type="spellStart"/>
      <w:r w:rsidRPr="0084187C">
        <w:rPr>
          <w:b w:val="0"/>
          <w:sz w:val="18"/>
          <w:szCs w:val="18"/>
        </w:rPr>
        <w:t>Alberto</w:t>
      </w:r>
      <w:proofErr w:type="spellEnd"/>
      <w:r w:rsidRPr="0084187C">
        <w:rPr>
          <w:b w:val="0"/>
          <w:sz w:val="18"/>
          <w:szCs w:val="18"/>
        </w:rPr>
        <w:t xml:space="preserve"> </w:t>
      </w:r>
      <w:proofErr w:type="spellStart"/>
      <w:r w:rsidRPr="0084187C">
        <w:rPr>
          <w:b w:val="0"/>
          <w:sz w:val="18"/>
          <w:szCs w:val="18"/>
        </w:rPr>
        <w:t>Ascherio</w:t>
      </w:r>
      <w:proofErr w:type="spellEnd"/>
      <w:r w:rsidRPr="0084187C">
        <w:rPr>
          <w:b w:val="0"/>
          <w:sz w:val="18"/>
          <w:szCs w:val="18"/>
        </w:rPr>
        <w:t xml:space="preserve">, </w:t>
      </w:r>
      <w:proofErr w:type="spellStart"/>
      <w:r w:rsidRPr="0084187C">
        <w:rPr>
          <w:b w:val="0"/>
          <w:sz w:val="18"/>
          <w:szCs w:val="18"/>
        </w:rPr>
        <w:t>Martijn</w:t>
      </w:r>
      <w:proofErr w:type="spellEnd"/>
      <w:r w:rsidRPr="0084187C">
        <w:rPr>
          <w:b w:val="0"/>
          <w:sz w:val="18"/>
          <w:szCs w:val="18"/>
        </w:rPr>
        <w:t xml:space="preserve"> B. </w:t>
      </w:r>
      <w:proofErr w:type="spellStart"/>
      <w:r w:rsidRPr="0084187C">
        <w:rPr>
          <w:b w:val="0"/>
          <w:sz w:val="18"/>
          <w:szCs w:val="18"/>
        </w:rPr>
        <w:t>Katan</w:t>
      </w:r>
      <w:proofErr w:type="spellEnd"/>
      <w:r w:rsidRPr="0084187C">
        <w:rPr>
          <w:b w:val="0"/>
          <w:sz w:val="18"/>
          <w:szCs w:val="18"/>
        </w:rPr>
        <w:t xml:space="preserve">, Peter L. </w:t>
      </w:r>
      <w:proofErr w:type="spellStart"/>
      <w:r w:rsidRPr="0084187C">
        <w:rPr>
          <w:b w:val="0"/>
          <w:sz w:val="18"/>
          <w:szCs w:val="18"/>
        </w:rPr>
        <w:t>Zock</w:t>
      </w:r>
      <w:proofErr w:type="spellEnd"/>
      <w:r w:rsidRPr="0084187C">
        <w:rPr>
          <w:b w:val="0"/>
          <w:sz w:val="18"/>
          <w:szCs w:val="18"/>
        </w:rPr>
        <w:t xml:space="preserve">, </w:t>
      </w:r>
      <w:proofErr w:type="spellStart"/>
      <w:r w:rsidRPr="0084187C">
        <w:rPr>
          <w:b w:val="0"/>
          <w:sz w:val="18"/>
          <w:szCs w:val="18"/>
        </w:rPr>
        <w:t>Meir</w:t>
      </w:r>
      <w:proofErr w:type="spellEnd"/>
      <w:r w:rsidRPr="0084187C">
        <w:rPr>
          <w:b w:val="0"/>
          <w:sz w:val="18"/>
          <w:szCs w:val="18"/>
        </w:rPr>
        <w:t xml:space="preserve"> J. </w:t>
      </w:r>
      <w:proofErr w:type="spellStart"/>
      <w:r w:rsidRPr="0084187C">
        <w:rPr>
          <w:b w:val="0"/>
          <w:sz w:val="18"/>
          <w:szCs w:val="18"/>
        </w:rPr>
        <w:t>Stampfer</w:t>
      </w:r>
      <w:proofErr w:type="spellEnd"/>
      <w:r w:rsidRPr="0084187C">
        <w:rPr>
          <w:b w:val="0"/>
          <w:sz w:val="18"/>
          <w:szCs w:val="18"/>
        </w:rPr>
        <w:t xml:space="preserve">, </w:t>
      </w:r>
      <w:proofErr w:type="spellStart"/>
      <w:r w:rsidRPr="0084187C">
        <w:rPr>
          <w:b w:val="0"/>
          <w:sz w:val="18"/>
          <w:szCs w:val="18"/>
        </w:rPr>
        <w:t>Dr.P.H</w:t>
      </w:r>
      <w:proofErr w:type="spellEnd"/>
      <w:r w:rsidRPr="0084187C">
        <w:rPr>
          <w:b w:val="0"/>
          <w:sz w:val="18"/>
          <w:szCs w:val="18"/>
        </w:rPr>
        <w:t xml:space="preserve">., </w:t>
      </w:r>
      <w:proofErr w:type="spellStart"/>
      <w:r w:rsidRPr="0084187C">
        <w:rPr>
          <w:b w:val="0"/>
          <w:sz w:val="18"/>
          <w:szCs w:val="18"/>
        </w:rPr>
        <w:t>and</w:t>
      </w:r>
      <w:proofErr w:type="spellEnd"/>
      <w:r w:rsidRPr="0084187C">
        <w:rPr>
          <w:b w:val="0"/>
          <w:sz w:val="18"/>
          <w:szCs w:val="18"/>
        </w:rPr>
        <w:t xml:space="preserve"> </w:t>
      </w:r>
      <w:proofErr w:type="spellStart"/>
      <w:r w:rsidRPr="0084187C">
        <w:rPr>
          <w:b w:val="0"/>
          <w:sz w:val="18"/>
          <w:szCs w:val="18"/>
        </w:rPr>
        <w:t>Walter</w:t>
      </w:r>
      <w:proofErr w:type="spellEnd"/>
      <w:r w:rsidRPr="0084187C">
        <w:rPr>
          <w:b w:val="0"/>
          <w:sz w:val="18"/>
          <w:szCs w:val="18"/>
        </w:rPr>
        <w:t xml:space="preserve"> C. </w:t>
      </w:r>
      <w:proofErr w:type="spellStart"/>
      <w:r w:rsidRPr="0084187C">
        <w:rPr>
          <w:b w:val="0"/>
          <w:sz w:val="18"/>
          <w:szCs w:val="18"/>
        </w:rPr>
        <w:t>Willett</w:t>
      </w:r>
      <w:proofErr w:type="spellEnd"/>
      <w:r w:rsidRPr="0084187C">
        <w:rPr>
          <w:b w:val="0"/>
          <w:sz w:val="18"/>
          <w:szCs w:val="18"/>
        </w:rPr>
        <w:t xml:space="preserve">. </w:t>
      </w:r>
      <w:r w:rsidRPr="0084187C">
        <w:rPr>
          <w:b w:val="0"/>
          <w:i/>
          <w:sz w:val="18"/>
          <w:szCs w:val="18"/>
        </w:rPr>
        <w:t xml:space="preserve">Trans </w:t>
      </w:r>
      <w:proofErr w:type="spellStart"/>
      <w:r w:rsidRPr="0084187C">
        <w:rPr>
          <w:b w:val="0"/>
          <w:i/>
          <w:sz w:val="18"/>
          <w:szCs w:val="18"/>
        </w:rPr>
        <w:t>Fatty</w:t>
      </w:r>
      <w:proofErr w:type="spellEnd"/>
      <w:r w:rsidRPr="0084187C">
        <w:rPr>
          <w:b w:val="0"/>
          <w:i/>
          <w:sz w:val="18"/>
          <w:szCs w:val="18"/>
        </w:rPr>
        <w:t xml:space="preserve"> </w:t>
      </w:r>
      <w:proofErr w:type="spellStart"/>
      <w:r w:rsidRPr="0084187C">
        <w:rPr>
          <w:b w:val="0"/>
          <w:i/>
          <w:sz w:val="18"/>
          <w:szCs w:val="18"/>
        </w:rPr>
        <w:t>Acids</w:t>
      </w:r>
      <w:proofErr w:type="spellEnd"/>
      <w:r w:rsidRPr="0084187C">
        <w:rPr>
          <w:b w:val="0"/>
          <w:i/>
          <w:sz w:val="18"/>
          <w:szCs w:val="18"/>
        </w:rPr>
        <w:t xml:space="preserve"> </w:t>
      </w:r>
      <w:proofErr w:type="spellStart"/>
      <w:r w:rsidRPr="0084187C">
        <w:rPr>
          <w:b w:val="0"/>
          <w:i/>
          <w:sz w:val="18"/>
          <w:szCs w:val="18"/>
        </w:rPr>
        <w:t>and</w:t>
      </w:r>
      <w:proofErr w:type="spellEnd"/>
      <w:r w:rsidRPr="0084187C">
        <w:rPr>
          <w:b w:val="0"/>
          <w:i/>
          <w:sz w:val="18"/>
          <w:szCs w:val="18"/>
        </w:rPr>
        <w:t xml:space="preserve"> </w:t>
      </w:r>
      <w:proofErr w:type="spellStart"/>
      <w:r w:rsidRPr="0084187C">
        <w:rPr>
          <w:b w:val="0"/>
          <w:i/>
          <w:sz w:val="18"/>
          <w:szCs w:val="18"/>
        </w:rPr>
        <w:t>Coronary</w:t>
      </w:r>
      <w:proofErr w:type="spellEnd"/>
      <w:r w:rsidRPr="0084187C">
        <w:rPr>
          <w:b w:val="0"/>
          <w:i/>
          <w:sz w:val="18"/>
          <w:szCs w:val="18"/>
        </w:rPr>
        <w:t xml:space="preserve"> </w:t>
      </w:r>
      <w:proofErr w:type="spellStart"/>
      <w:r w:rsidRPr="0084187C">
        <w:rPr>
          <w:b w:val="0"/>
          <w:i/>
          <w:sz w:val="18"/>
          <w:szCs w:val="18"/>
        </w:rPr>
        <w:t>Heart</w:t>
      </w:r>
      <w:proofErr w:type="spellEnd"/>
      <w:r w:rsidRPr="0084187C">
        <w:rPr>
          <w:b w:val="0"/>
          <w:i/>
          <w:sz w:val="18"/>
          <w:szCs w:val="18"/>
        </w:rPr>
        <w:t xml:space="preserve"> </w:t>
      </w:r>
      <w:proofErr w:type="spellStart"/>
      <w:r w:rsidRPr="0084187C">
        <w:rPr>
          <w:b w:val="0"/>
          <w:i/>
          <w:sz w:val="18"/>
          <w:szCs w:val="18"/>
        </w:rPr>
        <w:t>Disease</w:t>
      </w:r>
      <w:proofErr w:type="spellEnd"/>
      <w:r w:rsidRPr="0084187C">
        <w:rPr>
          <w:b w:val="0"/>
          <w:i/>
          <w:sz w:val="18"/>
          <w:szCs w:val="18"/>
        </w:rPr>
        <w:t>.</w:t>
      </w:r>
      <w:r w:rsidRPr="0084187C">
        <w:rPr>
          <w:b w:val="0"/>
          <w:sz w:val="18"/>
          <w:szCs w:val="18"/>
        </w:rPr>
        <w:t xml:space="preserve"> </w:t>
      </w:r>
      <w:proofErr w:type="spellStart"/>
      <w:r w:rsidRPr="0084187C">
        <w:rPr>
          <w:b w:val="0"/>
          <w:sz w:val="18"/>
          <w:szCs w:val="18"/>
        </w:rPr>
        <w:t>The</w:t>
      </w:r>
      <w:proofErr w:type="spellEnd"/>
      <w:r w:rsidRPr="0084187C">
        <w:rPr>
          <w:b w:val="0"/>
          <w:sz w:val="18"/>
          <w:szCs w:val="18"/>
        </w:rPr>
        <w:t xml:space="preserve"> </w:t>
      </w:r>
      <w:proofErr w:type="spellStart"/>
      <w:r w:rsidRPr="0084187C">
        <w:rPr>
          <w:rStyle w:val="citation"/>
          <w:rFonts w:eastAsia="Calibri"/>
          <w:b w:val="0"/>
          <w:sz w:val="18"/>
          <w:szCs w:val="18"/>
        </w:rPr>
        <w:t>England</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Journal</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of</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Medicine</w:t>
      </w:r>
      <w:proofErr w:type="spellEnd"/>
      <w:r w:rsidRPr="0084187C">
        <w:rPr>
          <w:rStyle w:val="citation"/>
          <w:rFonts w:eastAsia="Calibri"/>
          <w:b w:val="0"/>
          <w:sz w:val="18"/>
          <w:szCs w:val="18"/>
        </w:rPr>
        <w:t xml:space="preserve"> 1999; 340:1994-1998 </w:t>
      </w:r>
      <w:hyperlink r:id="rId10" w:history="1">
        <w:proofErr w:type="spellStart"/>
        <w:r w:rsidRPr="0084187C">
          <w:rPr>
            <w:rStyle w:val="Hyperlink"/>
            <w:b w:val="0"/>
            <w:color w:val="auto"/>
            <w:sz w:val="18"/>
            <w:szCs w:val="18"/>
          </w:rPr>
          <w:t>June</w:t>
        </w:r>
        <w:proofErr w:type="spellEnd"/>
        <w:r w:rsidRPr="0084187C">
          <w:rPr>
            <w:rStyle w:val="Hyperlink"/>
            <w:b w:val="0"/>
            <w:color w:val="auto"/>
            <w:sz w:val="18"/>
            <w:szCs w:val="18"/>
          </w:rPr>
          <w:t xml:space="preserve"> 24, 1999</w:t>
        </w:r>
      </w:hyperlink>
    </w:p>
  </w:footnote>
  <w:footnote w:id="14">
    <w:p w:rsidR="00476218" w:rsidRPr="0067450B" w:rsidRDefault="00476218" w:rsidP="00EC04CE">
      <w:pPr>
        <w:jc w:val="both"/>
        <w:rPr>
          <w:sz w:val="18"/>
          <w:szCs w:val="18"/>
        </w:rPr>
      </w:pPr>
      <w:r w:rsidRPr="0067450B">
        <w:rPr>
          <w:rStyle w:val="FootnoteReference"/>
          <w:sz w:val="18"/>
          <w:szCs w:val="18"/>
        </w:rPr>
        <w:footnoteRef/>
      </w:r>
      <w:r w:rsidRPr="0067450B">
        <w:rPr>
          <w:sz w:val="18"/>
          <w:szCs w:val="18"/>
        </w:rPr>
        <w:t xml:space="preserve"> </w:t>
      </w:r>
      <w:proofErr w:type="spellStart"/>
      <w:r w:rsidRPr="0067450B">
        <w:rPr>
          <w:sz w:val="18"/>
          <w:szCs w:val="18"/>
        </w:rPr>
        <w:t>Dariush</w:t>
      </w:r>
      <w:proofErr w:type="spellEnd"/>
      <w:r w:rsidRPr="0067450B">
        <w:rPr>
          <w:sz w:val="18"/>
          <w:szCs w:val="18"/>
        </w:rPr>
        <w:t xml:space="preserve"> </w:t>
      </w:r>
      <w:proofErr w:type="spellStart"/>
      <w:r w:rsidRPr="0067450B">
        <w:rPr>
          <w:sz w:val="18"/>
          <w:szCs w:val="18"/>
        </w:rPr>
        <w:t>Mozaffarian</w:t>
      </w:r>
      <w:proofErr w:type="spellEnd"/>
      <w:r w:rsidRPr="0067450B">
        <w:rPr>
          <w:sz w:val="18"/>
          <w:szCs w:val="18"/>
        </w:rPr>
        <w:t xml:space="preserve">, </w:t>
      </w:r>
      <w:proofErr w:type="spellStart"/>
      <w:r w:rsidRPr="0067450B">
        <w:rPr>
          <w:sz w:val="18"/>
          <w:szCs w:val="18"/>
        </w:rPr>
        <w:t>Martijn</w:t>
      </w:r>
      <w:proofErr w:type="spellEnd"/>
      <w:r w:rsidRPr="0067450B">
        <w:rPr>
          <w:sz w:val="18"/>
          <w:szCs w:val="18"/>
        </w:rPr>
        <w:t xml:space="preserve"> B. </w:t>
      </w:r>
      <w:proofErr w:type="spellStart"/>
      <w:r w:rsidRPr="0067450B">
        <w:rPr>
          <w:sz w:val="18"/>
          <w:szCs w:val="18"/>
        </w:rPr>
        <w:t>Katan</w:t>
      </w:r>
      <w:proofErr w:type="spellEnd"/>
      <w:r w:rsidRPr="0067450B">
        <w:rPr>
          <w:sz w:val="18"/>
          <w:szCs w:val="18"/>
        </w:rPr>
        <w:t xml:space="preserve">., </w:t>
      </w:r>
      <w:proofErr w:type="spellStart"/>
      <w:r w:rsidRPr="0067450B">
        <w:rPr>
          <w:sz w:val="18"/>
          <w:szCs w:val="18"/>
        </w:rPr>
        <w:t>Alberto</w:t>
      </w:r>
      <w:proofErr w:type="spellEnd"/>
      <w:r w:rsidRPr="0067450B">
        <w:rPr>
          <w:sz w:val="18"/>
          <w:szCs w:val="18"/>
        </w:rPr>
        <w:t xml:space="preserve"> </w:t>
      </w:r>
      <w:proofErr w:type="spellStart"/>
      <w:r w:rsidRPr="0067450B">
        <w:rPr>
          <w:sz w:val="18"/>
          <w:szCs w:val="18"/>
        </w:rPr>
        <w:t>Ascherio</w:t>
      </w:r>
      <w:proofErr w:type="spellEnd"/>
      <w:r w:rsidRPr="0067450B">
        <w:rPr>
          <w:sz w:val="18"/>
          <w:szCs w:val="18"/>
        </w:rPr>
        <w:t xml:space="preserve">, </w:t>
      </w:r>
      <w:proofErr w:type="spellStart"/>
      <w:r w:rsidRPr="0067450B">
        <w:rPr>
          <w:sz w:val="18"/>
          <w:szCs w:val="18"/>
        </w:rPr>
        <w:t>Meir</w:t>
      </w:r>
      <w:proofErr w:type="spellEnd"/>
      <w:r w:rsidRPr="0067450B">
        <w:rPr>
          <w:sz w:val="18"/>
          <w:szCs w:val="18"/>
        </w:rPr>
        <w:t xml:space="preserve"> </w:t>
      </w:r>
      <w:proofErr w:type="spellStart"/>
      <w:r w:rsidRPr="0067450B">
        <w:rPr>
          <w:sz w:val="18"/>
          <w:szCs w:val="18"/>
        </w:rPr>
        <w:t>J.Stampfer</w:t>
      </w:r>
      <w:proofErr w:type="spellEnd"/>
      <w:r w:rsidRPr="0067450B">
        <w:rPr>
          <w:sz w:val="18"/>
          <w:szCs w:val="18"/>
        </w:rPr>
        <w:t xml:space="preserve">, </w:t>
      </w:r>
      <w:proofErr w:type="spellStart"/>
      <w:r w:rsidRPr="0067450B">
        <w:rPr>
          <w:sz w:val="18"/>
          <w:szCs w:val="18"/>
        </w:rPr>
        <w:t>Walter</w:t>
      </w:r>
      <w:proofErr w:type="spellEnd"/>
      <w:r w:rsidRPr="0067450B">
        <w:rPr>
          <w:sz w:val="18"/>
          <w:szCs w:val="18"/>
        </w:rPr>
        <w:t xml:space="preserve"> C. </w:t>
      </w:r>
      <w:proofErr w:type="spellStart"/>
      <w:r w:rsidRPr="0067450B">
        <w:rPr>
          <w:sz w:val="18"/>
          <w:szCs w:val="18"/>
        </w:rPr>
        <w:t>Willett</w:t>
      </w:r>
      <w:proofErr w:type="spellEnd"/>
      <w:r w:rsidRPr="0067450B">
        <w:rPr>
          <w:sz w:val="18"/>
          <w:szCs w:val="18"/>
        </w:rPr>
        <w:t xml:space="preserve">. </w:t>
      </w:r>
      <w:r w:rsidRPr="0067450B">
        <w:rPr>
          <w:i/>
          <w:sz w:val="18"/>
          <w:szCs w:val="18"/>
        </w:rPr>
        <w:t xml:space="preserve">Trans </w:t>
      </w:r>
      <w:proofErr w:type="spellStart"/>
      <w:r w:rsidRPr="0067450B">
        <w:rPr>
          <w:i/>
          <w:sz w:val="18"/>
          <w:szCs w:val="18"/>
        </w:rPr>
        <w:t>Fatty</w:t>
      </w:r>
      <w:proofErr w:type="spellEnd"/>
      <w:r w:rsidRPr="0067450B">
        <w:rPr>
          <w:i/>
          <w:sz w:val="18"/>
          <w:szCs w:val="18"/>
        </w:rPr>
        <w:t xml:space="preserve"> </w:t>
      </w:r>
      <w:proofErr w:type="spellStart"/>
      <w:r w:rsidRPr="0067450B">
        <w:rPr>
          <w:i/>
          <w:sz w:val="18"/>
          <w:szCs w:val="18"/>
        </w:rPr>
        <w:t>Acids</w:t>
      </w:r>
      <w:proofErr w:type="spellEnd"/>
      <w:r w:rsidRPr="0067450B">
        <w:rPr>
          <w:i/>
          <w:sz w:val="18"/>
          <w:szCs w:val="18"/>
        </w:rPr>
        <w:t xml:space="preserve"> </w:t>
      </w:r>
      <w:proofErr w:type="spellStart"/>
      <w:r w:rsidRPr="0067450B">
        <w:rPr>
          <w:i/>
          <w:sz w:val="18"/>
          <w:szCs w:val="18"/>
        </w:rPr>
        <w:t>and</w:t>
      </w:r>
      <w:proofErr w:type="spellEnd"/>
      <w:r w:rsidRPr="0067450B">
        <w:rPr>
          <w:i/>
          <w:sz w:val="18"/>
          <w:szCs w:val="18"/>
        </w:rPr>
        <w:t xml:space="preserve"> </w:t>
      </w:r>
      <w:proofErr w:type="spellStart"/>
      <w:r w:rsidRPr="0067450B">
        <w:rPr>
          <w:i/>
          <w:sz w:val="18"/>
          <w:szCs w:val="18"/>
        </w:rPr>
        <w:t>Cardiovascular</w:t>
      </w:r>
      <w:proofErr w:type="spellEnd"/>
      <w:r w:rsidRPr="0067450B">
        <w:rPr>
          <w:i/>
          <w:sz w:val="18"/>
          <w:szCs w:val="18"/>
        </w:rPr>
        <w:t xml:space="preserve"> </w:t>
      </w:r>
      <w:proofErr w:type="spellStart"/>
      <w:r w:rsidRPr="0067450B">
        <w:rPr>
          <w:i/>
          <w:sz w:val="18"/>
          <w:szCs w:val="18"/>
        </w:rPr>
        <w:t>Disease</w:t>
      </w:r>
      <w:proofErr w:type="spellEnd"/>
      <w:r w:rsidRPr="0067450B">
        <w:rPr>
          <w:i/>
          <w:sz w:val="18"/>
          <w:szCs w:val="18"/>
        </w:rPr>
        <w:t>.</w:t>
      </w:r>
      <w:r w:rsidRPr="0067450B">
        <w:rPr>
          <w:sz w:val="18"/>
          <w:szCs w:val="18"/>
        </w:rPr>
        <w:t xml:space="preserve"> </w:t>
      </w:r>
      <w:proofErr w:type="spellStart"/>
      <w:r w:rsidRPr="0067450B">
        <w:rPr>
          <w:sz w:val="18"/>
          <w:szCs w:val="18"/>
        </w:rPr>
        <w:t>The</w:t>
      </w:r>
      <w:proofErr w:type="spellEnd"/>
      <w:r w:rsidRPr="0067450B">
        <w:rPr>
          <w:sz w:val="18"/>
          <w:szCs w:val="18"/>
        </w:rPr>
        <w:t xml:space="preserve"> </w:t>
      </w:r>
      <w:proofErr w:type="spellStart"/>
      <w:r w:rsidRPr="0067450B">
        <w:rPr>
          <w:rStyle w:val="nlmsource"/>
          <w:sz w:val="18"/>
          <w:szCs w:val="18"/>
        </w:rPr>
        <w:t>New</w:t>
      </w:r>
      <w:proofErr w:type="spellEnd"/>
      <w:r w:rsidRPr="0067450B">
        <w:rPr>
          <w:rStyle w:val="nlmsource"/>
          <w:sz w:val="18"/>
          <w:szCs w:val="18"/>
        </w:rPr>
        <w:t xml:space="preserve"> </w:t>
      </w:r>
      <w:proofErr w:type="spellStart"/>
      <w:r w:rsidRPr="0067450B">
        <w:rPr>
          <w:rStyle w:val="nlmsource"/>
          <w:sz w:val="18"/>
          <w:szCs w:val="18"/>
        </w:rPr>
        <w:t>England</w:t>
      </w:r>
      <w:proofErr w:type="spellEnd"/>
      <w:r w:rsidRPr="0067450B">
        <w:rPr>
          <w:rStyle w:val="nlmsource"/>
          <w:sz w:val="18"/>
          <w:szCs w:val="18"/>
        </w:rPr>
        <w:t xml:space="preserve"> </w:t>
      </w:r>
      <w:proofErr w:type="spellStart"/>
      <w:r w:rsidRPr="0067450B">
        <w:rPr>
          <w:rStyle w:val="nlmsource"/>
          <w:sz w:val="18"/>
          <w:szCs w:val="18"/>
        </w:rPr>
        <w:t>Journal</w:t>
      </w:r>
      <w:proofErr w:type="spellEnd"/>
      <w:r w:rsidRPr="0067450B">
        <w:rPr>
          <w:rStyle w:val="nlmsource"/>
          <w:sz w:val="18"/>
          <w:szCs w:val="18"/>
        </w:rPr>
        <w:t xml:space="preserve"> </w:t>
      </w:r>
      <w:proofErr w:type="spellStart"/>
      <w:r w:rsidRPr="0067450B">
        <w:rPr>
          <w:rStyle w:val="nlmsource"/>
          <w:sz w:val="18"/>
          <w:szCs w:val="18"/>
        </w:rPr>
        <w:t>of</w:t>
      </w:r>
      <w:proofErr w:type="spellEnd"/>
      <w:r w:rsidRPr="0067450B">
        <w:rPr>
          <w:rStyle w:val="nlmsource"/>
          <w:sz w:val="18"/>
          <w:szCs w:val="18"/>
        </w:rPr>
        <w:t xml:space="preserve"> </w:t>
      </w:r>
      <w:proofErr w:type="spellStart"/>
      <w:r w:rsidRPr="0067450B">
        <w:rPr>
          <w:rStyle w:val="nlmsource"/>
          <w:sz w:val="18"/>
          <w:szCs w:val="18"/>
        </w:rPr>
        <w:t>Medicine</w:t>
      </w:r>
      <w:proofErr w:type="spellEnd"/>
      <w:r w:rsidRPr="0067450B">
        <w:rPr>
          <w:sz w:val="18"/>
          <w:szCs w:val="18"/>
        </w:rPr>
        <w:t xml:space="preserve">, </w:t>
      </w:r>
      <w:r w:rsidRPr="0067450B">
        <w:rPr>
          <w:rStyle w:val="citation"/>
          <w:sz w:val="18"/>
          <w:szCs w:val="18"/>
        </w:rPr>
        <w:t xml:space="preserve">2006; 354:1601-1613 </w:t>
      </w:r>
      <w:proofErr w:type="spellStart"/>
      <w:r w:rsidRPr="0033118C">
        <w:rPr>
          <w:sz w:val="18"/>
          <w:szCs w:val="18"/>
        </w:rPr>
        <w:t>April</w:t>
      </w:r>
      <w:proofErr w:type="spellEnd"/>
      <w:r w:rsidRPr="0033118C">
        <w:rPr>
          <w:sz w:val="18"/>
          <w:szCs w:val="18"/>
        </w:rPr>
        <w:t xml:space="preserve"> 13, 2006</w:t>
      </w:r>
    </w:p>
  </w:footnote>
  <w:footnote w:id="15">
    <w:p w:rsidR="00476218" w:rsidRPr="009B5B30" w:rsidRDefault="00476218"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WHO. Diet, </w:t>
      </w:r>
      <w:proofErr w:type="spellStart"/>
      <w:r w:rsidRPr="009B5B30">
        <w:rPr>
          <w:b w:val="0"/>
          <w:sz w:val="18"/>
          <w:szCs w:val="18"/>
        </w:rPr>
        <w:t>nutrition</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prevention</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chronic</w:t>
      </w:r>
      <w:proofErr w:type="spellEnd"/>
      <w:r w:rsidRPr="009B5B30">
        <w:rPr>
          <w:b w:val="0"/>
          <w:sz w:val="18"/>
          <w:szCs w:val="18"/>
        </w:rPr>
        <w:t xml:space="preserve"> </w:t>
      </w:r>
      <w:proofErr w:type="spellStart"/>
      <w:r w:rsidRPr="009B5B30">
        <w:rPr>
          <w:b w:val="0"/>
          <w:sz w:val="18"/>
          <w:szCs w:val="18"/>
        </w:rPr>
        <w:t>diseases</w:t>
      </w:r>
      <w:proofErr w:type="spellEnd"/>
      <w:r w:rsidRPr="009B5B30">
        <w:rPr>
          <w:b w:val="0"/>
          <w:sz w:val="18"/>
          <w:szCs w:val="18"/>
        </w:rPr>
        <w:t xml:space="preserve">  </w:t>
      </w:r>
      <w:proofErr w:type="spellStart"/>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joint</w:t>
      </w:r>
      <w:proofErr w:type="spellEnd"/>
      <w:r w:rsidRPr="009B5B30">
        <w:rPr>
          <w:b w:val="0"/>
          <w:sz w:val="18"/>
          <w:szCs w:val="18"/>
        </w:rPr>
        <w:t xml:space="preserve"> WHO/FAO </w:t>
      </w:r>
      <w:proofErr w:type="spellStart"/>
      <w:r w:rsidRPr="009B5B30">
        <w:rPr>
          <w:b w:val="0"/>
          <w:sz w:val="18"/>
          <w:szCs w:val="18"/>
        </w:rPr>
        <w:t>expert</w:t>
      </w:r>
      <w:proofErr w:type="spellEnd"/>
      <w:r w:rsidRPr="009B5B30">
        <w:rPr>
          <w:b w:val="0"/>
          <w:sz w:val="18"/>
          <w:szCs w:val="18"/>
        </w:rPr>
        <w:t xml:space="preserve"> </w:t>
      </w:r>
      <w:proofErr w:type="spellStart"/>
      <w:r w:rsidRPr="009B5B30">
        <w:rPr>
          <w:b w:val="0"/>
          <w:sz w:val="18"/>
          <w:szCs w:val="18"/>
        </w:rPr>
        <w:t>consultation</w:t>
      </w:r>
      <w:proofErr w:type="spellEnd"/>
      <w:r w:rsidRPr="009B5B30">
        <w:rPr>
          <w:b w:val="0"/>
          <w:sz w:val="18"/>
          <w:szCs w:val="18"/>
        </w:rPr>
        <w:t xml:space="preserve">. WHO </w:t>
      </w:r>
      <w:proofErr w:type="spellStart"/>
      <w:r w:rsidRPr="009B5B30">
        <w:rPr>
          <w:b w:val="0"/>
          <w:sz w:val="18"/>
          <w:szCs w:val="18"/>
        </w:rPr>
        <w:t>Technical</w:t>
      </w:r>
      <w:proofErr w:type="spellEnd"/>
      <w:r w:rsidRPr="009B5B30">
        <w:rPr>
          <w:b w:val="0"/>
          <w:sz w:val="18"/>
          <w:szCs w:val="18"/>
        </w:rPr>
        <w:t xml:space="preserve"> </w:t>
      </w:r>
      <w:proofErr w:type="spellStart"/>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Series</w:t>
      </w:r>
      <w:proofErr w:type="spellEnd"/>
      <w:r w:rsidRPr="009B5B30">
        <w:rPr>
          <w:b w:val="0"/>
          <w:sz w:val="18"/>
          <w:szCs w:val="18"/>
        </w:rPr>
        <w:t xml:space="preserve">, No. 916 (TRS 916), </w:t>
      </w:r>
      <w:proofErr w:type="spellStart"/>
      <w:r w:rsidRPr="009B5B30">
        <w:rPr>
          <w:b w:val="0"/>
          <w:sz w:val="18"/>
          <w:szCs w:val="18"/>
        </w:rPr>
        <w:t>Geneve</w:t>
      </w:r>
      <w:proofErr w:type="spellEnd"/>
      <w:r w:rsidRPr="009B5B30">
        <w:rPr>
          <w:b w:val="0"/>
          <w:sz w:val="18"/>
          <w:szCs w:val="18"/>
        </w:rPr>
        <w:t>, 2003</w:t>
      </w:r>
    </w:p>
  </w:footnote>
  <w:footnote w:id="16">
    <w:p w:rsidR="00476218" w:rsidRPr="009B5B30" w:rsidRDefault="00476218"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EFSA. </w:t>
      </w:r>
      <w:proofErr w:type="spellStart"/>
      <w:r w:rsidRPr="009B5B30">
        <w:rPr>
          <w:b w:val="0"/>
          <w:sz w:val="18"/>
          <w:szCs w:val="18"/>
        </w:rPr>
        <w:t>Scientific</w:t>
      </w:r>
      <w:proofErr w:type="spellEnd"/>
      <w:r w:rsidRPr="009B5B30">
        <w:rPr>
          <w:b w:val="0"/>
          <w:sz w:val="18"/>
          <w:szCs w:val="18"/>
        </w:rPr>
        <w:t xml:space="preserve"> </w:t>
      </w:r>
      <w:proofErr w:type="spellStart"/>
      <w:r w:rsidRPr="009B5B30">
        <w:rPr>
          <w:b w:val="0"/>
          <w:sz w:val="18"/>
          <w:szCs w:val="18"/>
        </w:rPr>
        <w:t>Opinion</w:t>
      </w:r>
      <w:proofErr w:type="spellEnd"/>
      <w:r w:rsidRPr="009B5B30">
        <w:rPr>
          <w:b w:val="0"/>
          <w:sz w:val="18"/>
          <w:szCs w:val="18"/>
        </w:rPr>
        <w:t xml:space="preserve"> </w:t>
      </w:r>
      <w:proofErr w:type="spellStart"/>
      <w:r w:rsidRPr="009B5B30">
        <w:rPr>
          <w:b w:val="0"/>
          <w:sz w:val="18"/>
          <w:szCs w:val="18"/>
        </w:rPr>
        <w:t>on</w:t>
      </w:r>
      <w:proofErr w:type="spellEnd"/>
      <w:r w:rsidRPr="009B5B30">
        <w:rPr>
          <w:b w:val="0"/>
          <w:sz w:val="18"/>
          <w:szCs w:val="18"/>
        </w:rPr>
        <w:t xml:space="preserve"> </w:t>
      </w:r>
      <w:proofErr w:type="spellStart"/>
      <w:r w:rsidRPr="009B5B30">
        <w:rPr>
          <w:b w:val="0"/>
          <w:sz w:val="18"/>
          <w:szCs w:val="18"/>
        </w:rPr>
        <w:t>Dietary</w:t>
      </w:r>
      <w:proofErr w:type="spellEnd"/>
      <w:r w:rsidRPr="009B5B30">
        <w:rPr>
          <w:b w:val="0"/>
          <w:sz w:val="18"/>
          <w:szCs w:val="18"/>
        </w:rPr>
        <w:t xml:space="preserve"> Reference </w:t>
      </w:r>
      <w:proofErr w:type="spellStart"/>
      <w:r w:rsidRPr="009B5B30">
        <w:rPr>
          <w:b w:val="0"/>
          <w:sz w:val="18"/>
          <w:szCs w:val="18"/>
        </w:rPr>
        <w:t>Values</w:t>
      </w:r>
      <w:proofErr w:type="spellEnd"/>
      <w:r w:rsidRPr="009B5B30">
        <w:rPr>
          <w:b w:val="0"/>
          <w:sz w:val="18"/>
          <w:szCs w:val="18"/>
        </w:rPr>
        <w:t xml:space="preserve"> </w:t>
      </w:r>
      <w:proofErr w:type="spellStart"/>
      <w:r w:rsidRPr="009B5B30">
        <w:rPr>
          <w:b w:val="0"/>
          <w:sz w:val="18"/>
          <w:szCs w:val="18"/>
        </w:rPr>
        <w:t>for</w:t>
      </w:r>
      <w:proofErr w:type="spellEnd"/>
      <w:r w:rsidRPr="009B5B30">
        <w:rPr>
          <w:b w:val="0"/>
          <w:sz w:val="18"/>
          <w:szCs w:val="18"/>
        </w:rPr>
        <w:t xml:space="preserve"> </w:t>
      </w:r>
      <w:proofErr w:type="spellStart"/>
      <w:r w:rsidRPr="009B5B30">
        <w:rPr>
          <w:b w:val="0"/>
          <w:sz w:val="18"/>
          <w:szCs w:val="18"/>
        </w:rPr>
        <w:t>fats</w:t>
      </w:r>
      <w:proofErr w:type="spellEnd"/>
      <w:r w:rsidRPr="009B5B30">
        <w:rPr>
          <w:b w:val="0"/>
          <w:sz w:val="18"/>
          <w:szCs w:val="18"/>
        </w:rPr>
        <w:t xml:space="preserve">, </w:t>
      </w:r>
      <w:proofErr w:type="spellStart"/>
      <w:r w:rsidRPr="009B5B30">
        <w:rPr>
          <w:b w:val="0"/>
          <w:sz w:val="18"/>
          <w:szCs w:val="18"/>
        </w:rPr>
        <w:t>including</w:t>
      </w:r>
      <w:proofErr w:type="spellEnd"/>
      <w:r w:rsidRPr="009B5B30">
        <w:rPr>
          <w:b w:val="0"/>
          <w:sz w:val="18"/>
          <w:szCs w:val="18"/>
        </w:rPr>
        <w:t xml:space="preserve"> </w:t>
      </w:r>
      <w:proofErr w:type="spellStart"/>
      <w:r w:rsidRPr="009B5B30">
        <w:rPr>
          <w:b w:val="0"/>
          <w:sz w:val="18"/>
          <w:szCs w:val="18"/>
        </w:rPr>
        <w:t>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polyunsaturated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monounsaturated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r w:rsidRPr="009B5B30">
        <w:rPr>
          <w:b w:val="0"/>
          <w:iCs/>
          <w:sz w:val="18"/>
          <w:szCs w:val="18"/>
        </w:rPr>
        <w:t>trans</w:t>
      </w:r>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cholesterol</w:t>
      </w:r>
      <w:proofErr w:type="spellEnd"/>
      <w:r w:rsidRPr="009B5B30">
        <w:rPr>
          <w:b w:val="0"/>
          <w:sz w:val="18"/>
          <w:szCs w:val="18"/>
        </w:rPr>
        <w:t xml:space="preserve">. EFSA </w:t>
      </w:r>
      <w:proofErr w:type="spellStart"/>
      <w:r w:rsidRPr="009B5B30">
        <w:rPr>
          <w:b w:val="0"/>
          <w:sz w:val="18"/>
          <w:szCs w:val="18"/>
        </w:rPr>
        <w:t>Journal</w:t>
      </w:r>
      <w:proofErr w:type="spellEnd"/>
      <w:r w:rsidRPr="009B5B30">
        <w:rPr>
          <w:b w:val="0"/>
          <w:sz w:val="18"/>
          <w:szCs w:val="18"/>
        </w:rPr>
        <w:t xml:space="preserve"> 2010; 8(3)</w:t>
      </w:r>
      <w:r w:rsidRPr="009B5B30">
        <w:rPr>
          <w:sz w:val="18"/>
          <w:szCs w:val="18"/>
        </w:rPr>
        <w:t xml:space="preserve"> </w:t>
      </w:r>
    </w:p>
  </w:footnote>
  <w:footnote w:id="17">
    <w:p w:rsidR="00476218" w:rsidRPr="00594A4C" w:rsidRDefault="00476218" w:rsidP="00EC04CE">
      <w:pPr>
        <w:pStyle w:val="Heading1"/>
        <w:jc w:val="both"/>
        <w:rPr>
          <w:b w:val="0"/>
          <w:sz w:val="18"/>
          <w:szCs w:val="18"/>
        </w:rPr>
      </w:pPr>
      <w:r w:rsidRPr="00594A4C">
        <w:rPr>
          <w:rStyle w:val="FootnoteReference"/>
          <w:b w:val="0"/>
          <w:sz w:val="18"/>
          <w:szCs w:val="18"/>
        </w:rPr>
        <w:footnoteRef/>
      </w:r>
      <w:r w:rsidRPr="00594A4C">
        <w:rPr>
          <w:b w:val="0"/>
          <w:sz w:val="18"/>
          <w:szCs w:val="18"/>
        </w:rPr>
        <w:t xml:space="preserve">WHO. Diet, </w:t>
      </w:r>
      <w:proofErr w:type="spellStart"/>
      <w:r w:rsidRPr="00594A4C">
        <w:rPr>
          <w:b w:val="0"/>
          <w:sz w:val="18"/>
          <w:szCs w:val="18"/>
        </w:rPr>
        <w:t>nutrition</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prevention</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chronic</w:t>
      </w:r>
      <w:proofErr w:type="spellEnd"/>
      <w:r w:rsidRPr="00594A4C">
        <w:rPr>
          <w:b w:val="0"/>
          <w:sz w:val="18"/>
          <w:szCs w:val="18"/>
        </w:rPr>
        <w:t xml:space="preserve"> </w:t>
      </w:r>
      <w:proofErr w:type="spellStart"/>
      <w:r w:rsidRPr="00594A4C">
        <w:rPr>
          <w:b w:val="0"/>
          <w:sz w:val="18"/>
          <w:szCs w:val="18"/>
        </w:rPr>
        <w:t>diseases</w:t>
      </w:r>
      <w:proofErr w:type="spellEnd"/>
      <w:r w:rsidRPr="00594A4C">
        <w:rPr>
          <w:b w:val="0"/>
          <w:sz w:val="18"/>
          <w:szCs w:val="18"/>
        </w:rPr>
        <w:t xml:space="preserve">  </w:t>
      </w:r>
      <w:proofErr w:type="spellStart"/>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joint</w:t>
      </w:r>
      <w:proofErr w:type="spellEnd"/>
      <w:r w:rsidRPr="00594A4C">
        <w:rPr>
          <w:b w:val="0"/>
          <w:sz w:val="18"/>
          <w:szCs w:val="18"/>
        </w:rPr>
        <w:t xml:space="preserve"> WHO/FAO </w:t>
      </w:r>
      <w:proofErr w:type="spellStart"/>
      <w:r w:rsidRPr="00594A4C">
        <w:rPr>
          <w:b w:val="0"/>
          <w:sz w:val="18"/>
          <w:szCs w:val="18"/>
        </w:rPr>
        <w:t>expert</w:t>
      </w:r>
      <w:proofErr w:type="spellEnd"/>
      <w:r w:rsidRPr="00594A4C">
        <w:rPr>
          <w:b w:val="0"/>
          <w:sz w:val="18"/>
          <w:szCs w:val="18"/>
        </w:rPr>
        <w:t xml:space="preserve"> </w:t>
      </w:r>
      <w:proofErr w:type="spellStart"/>
      <w:r w:rsidRPr="00594A4C">
        <w:rPr>
          <w:b w:val="0"/>
          <w:sz w:val="18"/>
          <w:szCs w:val="18"/>
        </w:rPr>
        <w:t>consultation</w:t>
      </w:r>
      <w:proofErr w:type="spellEnd"/>
      <w:r w:rsidRPr="00594A4C">
        <w:rPr>
          <w:b w:val="0"/>
          <w:sz w:val="18"/>
          <w:szCs w:val="18"/>
        </w:rPr>
        <w:t xml:space="preserve">. WHO </w:t>
      </w:r>
      <w:proofErr w:type="spellStart"/>
      <w:r w:rsidRPr="00594A4C">
        <w:rPr>
          <w:b w:val="0"/>
          <w:sz w:val="18"/>
          <w:szCs w:val="18"/>
        </w:rPr>
        <w:t>Technical</w:t>
      </w:r>
      <w:proofErr w:type="spellEnd"/>
      <w:r w:rsidRPr="00594A4C">
        <w:rPr>
          <w:b w:val="0"/>
          <w:sz w:val="18"/>
          <w:szCs w:val="18"/>
        </w:rPr>
        <w:t xml:space="preserve"> </w:t>
      </w:r>
      <w:proofErr w:type="spellStart"/>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Series</w:t>
      </w:r>
      <w:proofErr w:type="spellEnd"/>
      <w:r w:rsidRPr="00594A4C">
        <w:rPr>
          <w:b w:val="0"/>
          <w:sz w:val="18"/>
          <w:szCs w:val="18"/>
        </w:rPr>
        <w:t xml:space="preserve">, No. 916 (TRS 916), </w:t>
      </w:r>
      <w:proofErr w:type="spellStart"/>
      <w:r w:rsidRPr="00594A4C">
        <w:rPr>
          <w:b w:val="0"/>
          <w:sz w:val="18"/>
          <w:szCs w:val="18"/>
        </w:rPr>
        <w:t>Geneve</w:t>
      </w:r>
      <w:proofErr w:type="spellEnd"/>
      <w:r w:rsidRPr="00594A4C">
        <w:rPr>
          <w:b w:val="0"/>
          <w:sz w:val="18"/>
          <w:szCs w:val="18"/>
        </w:rPr>
        <w:t>, 2003</w:t>
      </w:r>
    </w:p>
  </w:footnote>
  <w:footnote w:id="18">
    <w:p w:rsidR="00476218" w:rsidRPr="00594A4C" w:rsidRDefault="00476218" w:rsidP="00EC04CE">
      <w:pPr>
        <w:pStyle w:val="Heading1"/>
        <w:jc w:val="both"/>
        <w:rPr>
          <w:b w:val="0"/>
          <w:sz w:val="18"/>
          <w:szCs w:val="18"/>
        </w:rPr>
      </w:pPr>
      <w:r w:rsidRPr="00594A4C">
        <w:rPr>
          <w:rStyle w:val="FootnoteReference"/>
          <w:sz w:val="18"/>
          <w:szCs w:val="18"/>
        </w:rPr>
        <w:footnoteRef/>
      </w:r>
      <w:r w:rsidRPr="00594A4C">
        <w:rPr>
          <w:sz w:val="18"/>
          <w:szCs w:val="18"/>
        </w:rPr>
        <w:t xml:space="preserve"> </w:t>
      </w:r>
      <w:r w:rsidRPr="00594A4C">
        <w:rPr>
          <w:b w:val="0"/>
          <w:sz w:val="18"/>
          <w:szCs w:val="18"/>
        </w:rPr>
        <w:t xml:space="preserve">EFSA. </w:t>
      </w:r>
      <w:proofErr w:type="spellStart"/>
      <w:r w:rsidRPr="00594A4C">
        <w:rPr>
          <w:b w:val="0"/>
          <w:sz w:val="18"/>
          <w:szCs w:val="18"/>
        </w:rPr>
        <w:t>Scientific</w:t>
      </w:r>
      <w:proofErr w:type="spellEnd"/>
      <w:r w:rsidRPr="00594A4C">
        <w:rPr>
          <w:b w:val="0"/>
          <w:sz w:val="18"/>
          <w:szCs w:val="18"/>
        </w:rPr>
        <w:t xml:space="preserve"> </w:t>
      </w:r>
      <w:proofErr w:type="spellStart"/>
      <w:r w:rsidRPr="00594A4C">
        <w:rPr>
          <w:b w:val="0"/>
          <w:sz w:val="18"/>
          <w:szCs w:val="18"/>
        </w:rPr>
        <w:t>Opinion</w:t>
      </w:r>
      <w:proofErr w:type="spellEnd"/>
      <w:r w:rsidRPr="00594A4C">
        <w:rPr>
          <w:b w:val="0"/>
          <w:sz w:val="18"/>
          <w:szCs w:val="18"/>
        </w:rPr>
        <w:t xml:space="preserve"> </w:t>
      </w:r>
      <w:proofErr w:type="spellStart"/>
      <w:r w:rsidRPr="00594A4C">
        <w:rPr>
          <w:b w:val="0"/>
          <w:sz w:val="18"/>
          <w:szCs w:val="18"/>
        </w:rPr>
        <w:t>on</w:t>
      </w:r>
      <w:proofErr w:type="spellEnd"/>
      <w:r w:rsidRPr="00594A4C">
        <w:rPr>
          <w:b w:val="0"/>
          <w:sz w:val="18"/>
          <w:szCs w:val="18"/>
        </w:rPr>
        <w:t xml:space="preserve"> </w:t>
      </w:r>
      <w:proofErr w:type="spellStart"/>
      <w:r w:rsidRPr="00594A4C">
        <w:rPr>
          <w:b w:val="0"/>
          <w:sz w:val="18"/>
          <w:szCs w:val="18"/>
        </w:rPr>
        <w:t>Dietary</w:t>
      </w:r>
      <w:proofErr w:type="spellEnd"/>
      <w:r w:rsidRPr="00594A4C">
        <w:rPr>
          <w:b w:val="0"/>
          <w:sz w:val="18"/>
          <w:szCs w:val="18"/>
        </w:rPr>
        <w:t xml:space="preserve"> Reference </w:t>
      </w:r>
      <w:proofErr w:type="spellStart"/>
      <w:r w:rsidRPr="00594A4C">
        <w:rPr>
          <w:b w:val="0"/>
          <w:sz w:val="18"/>
          <w:szCs w:val="18"/>
        </w:rPr>
        <w:t>Values</w:t>
      </w:r>
      <w:proofErr w:type="spellEnd"/>
      <w:r w:rsidRPr="00594A4C">
        <w:rPr>
          <w:b w:val="0"/>
          <w:sz w:val="18"/>
          <w:szCs w:val="18"/>
        </w:rPr>
        <w:t xml:space="preserve"> </w:t>
      </w:r>
      <w:proofErr w:type="spellStart"/>
      <w:r w:rsidRPr="00594A4C">
        <w:rPr>
          <w:b w:val="0"/>
          <w:sz w:val="18"/>
          <w:szCs w:val="18"/>
        </w:rPr>
        <w:t>for</w:t>
      </w:r>
      <w:proofErr w:type="spellEnd"/>
      <w:r w:rsidRPr="00594A4C">
        <w:rPr>
          <w:b w:val="0"/>
          <w:sz w:val="18"/>
          <w:szCs w:val="18"/>
        </w:rPr>
        <w:t xml:space="preserve"> </w:t>
      </w:r>
      <w:proofErr w:type="spellStart"/>
      <w:r w:rsidRPr="00594A4C">
        <w:rPr>
          <w:b w:val="0"/>
          <w:sz w:val="18"/>
          <w:szCs w:val="18"/>
        </w:rPr>
        <w:t>fats</w:t>
      </w:r>
      <w:proofErr w:type="spellEnd"/>
      <w:r w:rsidRPr="00594A4C">
        <w:rPr>
          <w:b w:val="0"/>
          <w:sz w:val="18"/>
          <w:szCs w:val="18"/>
        </w:rPr>
        <w:t xml:space="preserve">, </w:t>
      </w:r>
      <w:proofErr w:type="spellStart"/>
      <w:r w:rsidRPr="00594A4C">
        <w:rPr>
          <w:b w:val="0"/>
          <w:sz w:val="18"/>
          <w:szCs w:val="18"/>
        </w:rPr>
        <w:t>including</w:t>
      </w:r>
      <w:proofErr w:type="spellEnd"/>
      <w:r w:rsidRPr="00594A4C">
        <w:rPr>
          <w:b w:val="0"/>
          <w:sz w:val="18"/>
          <w:szCs w:val="18"/>
        </w:rPr>
        <w:t xml:space="preserve"> </w:t>
      </w:r>
      <w:proofErr w:type="spellStart"/>
      <w:r w:rsidRPr="00594A4C">
        <w:rPr>
          <w:b w:val="0"/>
          <w:sz w:val="18"/>
          <w:szCs w:val="18"/>
        </w:rPr>
        <w:t>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polyunsaturated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monounsaturated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r w:rsidRPr="00594A4C">
        <w:rPr>
          <w:b w:val="0"/>
          <w:iCs/>
          <w:sz w:val="18"/>
          <w:szCs w:val="18"/>
        </w:rPr>
        <w:t>trans</w:t>
      </w:r>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cholesterol</w:t>
      </w:r>
      <w:proofErr w:type="spellEnd"/>
      <w:r w:rsidRPr="00594A4C">
        <w:rPr>
          <w:b w:val="0"/>
          <w:sz w:val="18"/>
          <w:szCs w:val="18"/>
        </w:rPr>
        <w:t xml:space="preserve">. EFSA </w:t>
      </w:r>
      <w:proofErr w:type="spellStart"/>
      <w:r w:rsidRPr="00594A4C">
        <w:rPr>
          <w:b w:val="0"/>
          <w:sz w:val="18"/>
          <w:szCs w:val="18"/>
        </w:rPr>
        <w:t>Journal</w:t>
      </w:r>
      <w:proofErr w:type="spellEnd"/>
      <w:r w:rsidRPr="00594A4C">
        <w:rPr>
          <w:b w:val="0"/>
          <w:sz w:val="18"/>
          <w:szCs w:val="18"/>
        </w:rPr>
        <w:t xml:space="preserve"> 2010; 8(3)</w:t>
      </w:r>
      <w:r w:rsidRPr="00594A4C">
        <w:rPr>
          <w:sz w:val="18"/>
          <w:szCs w:val="18"/>
        </w:rPr>
        <w:t xml:space="preserve"> </w:t>
      </w:r>
    </w:p>
  </w:footnote>
  <w:footnote w:id="19">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0">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Uztura paradumi un ķermeņa masa skolas vecuma bērniem Latvijā, Rīga, 2007.</w:t>
      </w:r>
    </w:p>
  </w:footnote>
  <w:footnote w:id="21">
    <w:p w:rsidR="00476218" w:rsidRPr="00421B4B" w:rsidRDefault="00476218" w:rsidP="00EC04CE">
      <w:pPr>
        <w:pStyle w:val="FootnoteText"/>
        <w:rPr>
          <w:rFonts w:ascii="Times New Roman" w:hAnsi="Times New Roman"/>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2">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Bērnu </w:t>
      </w:r>
      <w:proofErr w:type="spellStart"/>
      <w:r w:rsidRPr="0067450B">
        <w:rPr>
          <w:rFonts w:ascii="Times New Roman" w:hAnsi="Times New Roman"/>
          <w:sz w:val="18"/>
          <w:szCs w:val="18"/>
        </w:rPr>
        <w:t>antropometrisko</w:t>
      </w:r>
      <w:proofErr w:type="spellEnd"/>
      <w:r w:rsidRPr="0067450B">
        <w:rPr>
          <w:rFonts w:ascii="Times New Roman" w:hAnsi="Times New Roman"/>
          <w:sz w:val="18"/>
          <w:szCs w:val="18"/>
        </w:rPr>
        <w:t xml:space="preserve"> parametru un skolu vides pētījums Latvijā, 2012./2013. </w:t>
      </w:r>
      <w:proofErr w:type="spellStart"/>
      <w:r w:rsidRPr="0067450B">
        <w:rPr>
          <w:rFonts w:ascii="Times New Roman" w:hAnsi="Times New Roman"/>
          <w:sz w:val="18"/>
          <w:szCs w:val="18"/>
        </w:rPr>
        <w:t>māc.g</w:t>
      </w:r>
      <w:proofErr w:type="spellEnd"/>
      <w:r w:rsidRPr="0067450B">
        <w:rPr>
          <w:rFonts w:ascii="Times New Roman" w:hAnsi="Times New Roman"/>
          <w:sz w:val="18"/>
          <w:szCs w:val="18"/>
        </w:rPr>
        <w:t>.</w:t>
      </w:r>
    </w:p>
  </w:footnote>
  <w:footnote w:id="23">
    <w:p w:rsidR="00476218" w:rsidRPr="009B5B30" w:rsidRDefault="00476218"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Judith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Mackay,George</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Mensah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Shanthi</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Mendis,Kurt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Greenlund</w:t>
      </w:r>
      <w:proofErr w:type="spellEnd"/>
      <w:r w:rsidRPr="009B5B30">
        <w:rPr>
          <w:rFonts w:ascii="Times New Roman" w:hAnsi="Times New Roman"/>
          <w:sz w:val="18"/>
          <w:szCs w:val="18"/>
        </w:rPr>
        <w:t>.</w:t>
      </w:r>
      <w:r w:rsidRPr="009B5B30">
        <w:rPr>
          <w:rFonts w:ascii="Times New Roman" w:hAnsi="Times New Roman"/>
          <w:i/>
          <w:sz w:val="18"/>
          <w:szCs w:val="18"/>
        </w:rPr>
        <w:t xml:space="preserve"> </w:t>
      </w:r>
      <w:proofErr w:type="spellStart"/>
      <w:r w:rsidRPr="009B5B30">
        <w:rPr>
          <w:rFonts w:ascii="Times New Roman" w:hAnsi="Times New Roman"/>
          <w:i/>
          <w:sz w:val="18"/>
          <w:szCs w:val="18"/>
        </w:rPr>
        <w:t>The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atlas</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of</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heart</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disease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and</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stroke</w:t>
      </w:r>
      <w:proofErr w:type="spellEnd"/>
      <w:r w:rsidRPr="009B5B30">
        <w:rPr>
          <w:rFonts w:ascii="Times New Roman" w:hAnsi="Times New Roman"/>
          <w:i/>
          <w:sz w:val="18"/>
          <w:szCs w:val="18"/>
        </w:rPr>
        <w:t xml:space="preserve">. </w:t>
      </w:r>
      <w:proofErr w:type="spellStart"/>
      <w:r w:rsidRPr="009B5B30">
        <w:rPr>
          <w:rFonts w:ascii="Times New Roman" w:hAnsi="Times New Roman"/>
          <w:sz w:val="18"/>
          <w:szCs w:val="18"/>
        </w:rPr>
        <w:t>World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Organization</w:t>
      </w:r>
      <w:proofErr w:type="spellEnd"/>
      <w:r w:rsidRPr="009B5B30">
        <w:rPr>
          <w:rFonts w:ascii="Times New Roman" w:hAnsi="Times New Roman"/>
          <w:sz w:val="18"/>
          <w:szCs w:val="18"/>
        </w:rPr>
        <w:t xml:space="preserve">  </w:t>
      </w:r>
    </w:p>
  </w:footnote>
  <w:footnote w:id="24">
    <w:p w:rsidR="00476218" w:rsidRPr="00421B4B" w:rsidRDefault="00476218" w:rsidP="00EC04CE">
      <w:pPr>
        <w:pStyle w:val="FootnoteText"/>
        <w:jc w:val="both"/>
        <w:rPr>
          <w:rFonts w:ascii="Times New Roman" w:hAnsi="Times New Roman"/>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Busse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R.et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Tackling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chronic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disease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Strategies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interventions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challenges</w:t>
      </w:r>
      <w:proofErr w:type="spellEnd"/>
      <w:r w:rsidRPr="009B5B30">
        <w:rPr>
          <w:rFonts w:ascii="Times New Roman" w:hAnsi="Times New Roman"/>
          <w:sz w:val="18"/>
          <w:szCs w:val="18"/>
        </w:rPr>
        <w:t xml:space="preserve">. WHO, 2010, </w:t>
      </w:r>
      <w:hyperlink r:id="rId11" w:history="1">
        <w:r w:rsidRPr="009B5B30">
          <w:rPr>
            <w:rStyle w:val="Hyperlink"/>
            <w:rFonts w:ascii="Times New Roman" w:hAnsi="Times New Roman"/>
            <w:sz w:val="18"/>
            <w:szCs w:val="18"/>
          </w:rPr>
          <w:t>http://www.euro.who.int/__data/assets/pdf_file/0008/96632/E93736.pdf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18" w:rsidRDefault="000D37E8">
    <w:pPr>
      <w:pStyle w:val="Header"/>
      <w:framePr w:wrap="around" w:vAnchor="text" w:hAnchor="margin" w:xAlign="center" w:y="1"/>
      <w:rPr>
        <w:rStyle w:val="PageNumber"/>
      </w:rPr>
    </w:pPr>
    <w:r>
      <w:rPr>
        <w:rStyle w:val="PageNumber"/>
      </w:rPr>
      <w:fldChar w:fldCharType="begin"/>
    </w:r>
    <w:r w:rsidR="00476218">
      <w:rPr>
        <w:rStyle w:val="PageNumber"/>
      </w:rPr>
      <w:instrText xml:space="preserve">PAGE  </w:instrText>
    </w:r>
    <w:r>
      <w:rPr>
        <w:rStyle w:val="PageNumber"/>
      </w:rPr>
      <w:fldChar w:fldCharType="end"/>
    </w:r>
  </w:p>
  <w:p w:rsidR="00476218" w:rsidRDefault="00476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18" w:rsidRDefault="000D37E8">
    <w:pPr>
      <w:pStyle w:val="Header"/>
      <w:framePr w:wrap="around" w:vAnchor="text" w:hAnchor="margin" w:xAlign="center" w:y="1"/>
      <w:rPr>
        <w:rStyle w:val="PageNumber"/>
      </w:rPr>
    </w:pPr>
    <w:r>
      <w:rPr>
        <w:rStyle w:val="PageNumber"/>
      </w:rPr>
      <w:fldChar w:fldCharType="begin"/>
    </w:r>
    <w:r w:rsidR="00476218">
      <w:rPr>
        <w:rStyle w:val="PageNumber"/>
      </w:rPr>
      <w:instrText xml:space="preserve">PAGE  </w:instrText>
    </w:r>
    <w:r>
      <w:rPr>
        <w:rStyle w:val="PageNumber"/>
      </w:rPr>
      <w:fldChar w:fldCharType="separate"/>
    </w:r>
    <w:r w:rsidR="00613BE7">
      <w:rPr>
        <w:rStyle w:val="PageNumber"/>
        <w:noProof/>
      </w:rPr>
      <w:t>14</w:t>
    </w:r>
    <w:r>
      <w:rPr>
        <w:rStyle w:val="PageNumber"/>
      </w:rPr>
      <w:fldChar w:fldCharType="end"/>
    </w:r>
  </w:p>
  <w:p w:rsidR="00476218" w:rsidRDefault="00476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859"/>
    <w:multiLevelType w:val="hybridMultilevel"/>
    <w:tmpl w:val="B98483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D14C1"/>
    <w:multiLevelType w:val="hybridMultilevel"/>
    <w:tmpl w:val="194AAD3A"/>
    <w:lvl w:ilvl="0" w:tplc="1B96926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3E0DA1"/>
    <w:multiLevelType w:val="hybridMultilevel"/>
    <w:tmpl w:val="3CDAE1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6D6AF8"/>
    <w:multiLevelType w:val="hybridMultilevel"/>
    <w:tmpl w:val="FC527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5A7B58"/>
    <w:multiLevelType w:val="hybridMultilevel"/>
    <w:tmpl w:val="74AC4D5C"/>
    <w:lvl w:ilvl="0" w:tplc="2604E362">
      <w:start w:val="1"/>
      <w:numFmt w:val="bullet"/>
      <w:lvlText w:val=""/>
      <w:lvlJc w:val="left"/>
      <w:pPr>
        <w:tabs>
          <w:tab w:val="num" w:pos="720"/>
        </w:tabs>
        <w:ind w:left="720" w:hanging="360"/>
      </w:pPr>
      <w:rPr>
        <w:rFonts w:ascii="Wingdings" w:hAnsi="Wingdings" w:hint="default"/>
      </w:rPr>
    </w:lvl>
    <w:lvl w:ilvl="1" w:tplc="B8787170" w:tentative="1">
      <w:start w:val="1"/>
      <w:numFmt w:val="bullet"/>
      <w:lvlText w:val=""/>
      <w:lvlJc w:val="left"/>
      <w:pPr>
        <w:tabs>
          <w:tab w:val="num" w:pos="1440"/>
        </w:tabs>
        <w:ind w:left="1440" w:hanging="360"/>
      </w:pPr>
      <w:rPr>
        <w:rFonts w:ascii="Wingdings" w:hAnsi="Wingdings" w:hint="default"/>
      </w:rPr>
    </w:lvl>
    <w:lvl w:ilvl="2" w:tplc="612E8D84" w:tentative="1">
      <w:start w:val="1"/>
      <w:numFmt w:val="bullet"/>
      <w:lvlText w:val=""/>
      <w:lvlJc w:val="left"/>
      <w:pPr>
        <w:tabs>
          <w:tab w:val="num" w:pos="2160"/>
        </w:tabs>
        <w:ind w:left="2160" w:hanging="360"/>
      </w:pPr>
      <w:rPr>
        <w:rFonts w:ascii="Wingdings" w:hAnsi="Wingdings" w:hint="default"/>
      </w:rPr>
    </w:lvl>
    <w:lvl w:ilvl="3" w:tplc="A2866DEC" w:tentative="1">
      <w:start w:val="1"/>
      <w:numFmt w:val="bullet"/>
      <w:lvlText w:val=""/>
      <w:lvlJc w:val="left"/>
      <w:pPr>
        <w:tabs>
          <w:tab w:val="num" w:pos="2880"/>
        </w:tabs>
        <w:ind w:left="2880" w:hanging="360"/>
      </w:pPr>
      <w:rPr>
        <w:rFonts w:ascii="Wingdings" w:hAnsi="Wingdings" w:hint="default"/>
      </w:rPr>
    </w:lvl>
    <w:lvl w:ilvl="4" w:tplc="7D745058" w:tentative="1">
      <w:start w:val="1"/>
      <w:numFmt w:val="bullet"/>
      <w:lvlText w:val=""/>
      <w:lvlJc w:val="left"/>
      <w:pPr>
        <w:tabs>
          <w:tab w:val="num" w:pos="3600"/>
        </w:tabs>
        <w:ind w:left="3600" w:hanging="360"/>
      </w:pPr>
      <w:rPr>
        <w:rFonts w:ascii="Wingdings" w:hAnsi="Wingdings" w:hint="default"/>
      </w:rPr>
    </w:lvl>
    <w:lvl w:ilvl="5" w:tplc="BC162158" w:tentative="1">
      <w:start w:val="1"/>
      <w:numFmt w:val="bullet"/>
      <w:lvlText w:val=""/>
      <w:lvlJc w:val="left"/>
      <w:pPr>
        <w:tabs>
          <w:tab w:val="num" w:pos="4320"/>
        </w:tabs>
        <w:ind w:left="4320" w:hanging="360"/>
      </w:pPr>
      <w:rPr>
        <w:rFonts w:ascii="Wingdings" w:hAnsi="Wingdings" w:hint="default"/>
      </w:rPr>
    </w:lvl>
    <w:lvl w:ilvl="6" w:tplc="9C3AC2CE" w:tentative="1">
      <w:start w:val="1"/>
      <w:numFmt w:val="bullet"/>
      <w:lvlText w:val=""/>
      <w:lvlJc w:val="left"/>
      <w:pPr>
        <w:tabs>
          <w:tab w:val="num" w:pos="5040"/>
        </w:tabs>
        <w:ind w:left="5040" w:hanging="360"/>
      </w:pPr>
      <w:rPr>
        <w:rFonts w:ascii="Wingdings" w:hAnsi="Wingdings" w:hint="default"/>
      </w:rPr>
    </w:lvl>
    <w:lvl w:ilvl="7" w:tplc="F17A6B84" w:tentative="1">
      <w:start w:val="1"/>
      <w:numFmt w:val="bullet"/>
      <w:lvlText w:val=""/>
      <w:lvlJc w:val="left"/>
      <w:pPr>
        <w:tabs>
          <w:tab w:val="num" w:pos="5760"/>
        </w:tabs>
        <w:ind w:left="5760" w:hanging="360"/>
      </w:pPr>
      <w:rPr>
        <w:rFonts w:ascii="Wingdings" w:hAnsi="Wingdings" w:hint="default"/>
      </w:rPr>
    </w:lvl>
    <w:lvl w:ilvl="8" w:tplc="4468A9C0" w:tentative="1">
      <w:start w:val="1"/>
      <w:numFmt w:val="bullet"/>
      <w:lvlText w:val=""/>
      <w:lvlJc w:val="left"/>
      <w:pPr>
        <w:tabs>
          <w:tab w:val="num" w:pos="6480"/>
        </w:tabs>
        <w:ind w:left="6480" w:hanging="360"/>
      </w:pPr>
      <w:rPr>
        <w:rFonts w:ascii="Wingdings" w:hAnsi="Wingdings" w:hint="default"/>
      </w:rPr>
    </w:lvl>
  </w:abstractNum>
  <w:abstractNum w:abstractNumId="7">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0">
    <w:nsid w:val="583C4AE1"/>
    <w:multiLevelType w:val="hybridMultilevel"/>
    <w:tmpl w:val="97BA4F12"/>
    <w:lvl w:ilvl="0" w:tplc="EB3CE8E2">
      <w:start w:val="1"/>
      <w:numFmt w:val="decimal"/>
      <w:lvlText w:val="%1)"/>
      <w:lvlJc w:val="left"/>
      <w:pPr>
        <w:ind w:left="107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1">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812E72"/>
    <w:multiLevelType w:val="hybridMultilevel"/>
    <w:tmpl w:val="1A6C0F3E"/>
    <w:lvl w:ilvl="0" w:tplc="3D160076">
      <w:start w:val="1"/>
      <w:numFmt w:val="bullet"/>
      <w:lvlText w:val=""/>
      <w:lvlJc w:val="left"/>
      <w:pPr>
        <w:tabs>
          <w:tab w:val="num" w:pos="720"/>
        </w:tabs>
        <w:ind w:left="720" w:hanging="360"/>
      </w:pPr>
      <w:rPr>
        <w:rFonts w:ascii="Wingdings" w:hAnsi="Wingdings" w:hint="default"/>
      </w:rPr>
    </w:lvl>
    <w:lvl w:ilvl="1" w:tplc="177C5810" w:tentative="1">
      <w:start w:val="1"/>
      <w:numFmt w:val="bullet"/>
      <w:lvlText w:val=""/>
      <w:lvlJc w:val="left"/>
      <w:pPr>
        <w:tabs>
          <w:tab w:val="num" w:pos="1440"/>
        </w:tabs>
        <w:ind w:left="1440" w:hanging="360"/>
      </w:pPr>
      <w:rPr>
        <w:rFonts w:ascii="Wingdings" w:hAnsi="Wingdings" w:hint="default"/>
      </w:rPr>
    </w:lvl>
    <w:lvl w:ilvl="2" w:tplc="B6C2D024" w:tentative="1">
      <w:start w:val="1"/>
      <w:numFmt w:val="bullet"/>
      <w:lvlText w:val=""/>
      <w:lvlJc w:val="left"/>
      <w:pPr>
        <w:tabs>
          <w:tab w:val="num" w:pos="2160"/>
        </w:tabs>
        <w:ind w:left="2160" w:hanging="360"/>
      </w:pPr>
      <w:rPr>
        <w:rFonts w:ascii="Wingdings" w:hAnsi="Wingdings" w:hint="default"/>
      </w:rPr>
    </w:lvl>
    <w:lvl w:ilvl="3" w:tplc="7344733E" w:tentative="1">
      <w:start w:val="1"/>
      <w:numFmt w:val="bullet"/>
      <w:lvlText w:val=""/>
      <w:lvlJc w:val="left"/>
      <w:pPr>
        <w:tabs>
          <w:tab w:val="num" w:pos="2880"/>
        </w:tabs>
        <w:ind w:left="2880" w:hanging="360"/>
      </w:pPr>
      <w:rPr>
        <w:rFonts w:ascii="Wingdings" w:hAnsi="Wingdings" w:hint="default"/>
      </w:rPr>
    </w:lvl>
    <w:lvl w:ilvl="4" w:tplc="7ACA3266" w:tentative="1">
      <w:start w:val="1"/>
      <w:numFmt w:val="bullet"/>
      <w:lvlText w:val=""/>
      <w:lvlJc w:val="left"/>
      <w:pPr>
        <w:tabs>
          <w:tab w:val="num" w:pos="3600"/>
        </w:tabs>
        <w:ind w:left="3600" w:hanging="360"/>
      </w:pPr>
      <w:rPr>
        <w:rFonts w:ascii="Wingdings" w:hAnsi="Wingdings" w:hint="default"/>
      </w:rPr>
    </w:lvl>
    <w:lvl w:ilvl="5" w:tplc="F010459A" w:tentative="1">
      <w:start w:val="1"/>
      <w:numFmt w:val="bullet"/>
      <w:lvlText w:val=""/>
      <w:lvlJc w:val="left"/>
      <w:pPr>
        <w:tabs>
          <w:tab w:val="num" w:pos="4320"/>
        </w:tabs>
        <w:ind w:left="4320" w:hanging="360"/>
      </w:pPr>
      <w:rPr>
        <w:rFonts w:ascii="Wingdings" w:hAnsi="Wingdings" w:hint="default"/>
      </w:rPr>
    </w:lvl>
    <w:lvl w:ilvl="6" w:tplc="8A5EDD24" w:tentative="1">
      <w:start w:val="1"/>
      <w:numFmt w:val="bullet"/>
      <w:lvlText w:val=""/>
      <w:lvlJc w:val="left"/>
      <w:pPr>
        <w:tabs>
          <w:tab w:val="num" w:pos="5040"/>
        </w:tabs>
        <w:ind w:left="5040" w:hanging="360"/>
      </w:pPr>
      <w:rPr>
        <w:rFonts w:ascii="Wingdings" w:hAnsi="Wingdings" w:hint="default"/>
      </w:rPr>
    </w:lvl>
    <w:lvl w:ilvl="7" w:tplc="453200F2" w:tentative="1">
      <w:start w:val="1"/>
      <w:numFmt w:val="bullet"/>
      <w:lvlText w:val=""/>
      <w:lvlJc w:val="left"/>
      <w:pPr>
        <w:tabs>
          <w:tab w:val="num" w:pos="5760"/>
        </w:tabs>
        <w:ind w:left="5760" w:hanging="360"/>
      </w:pPr>
      <w:rPr>
        <w:rFonts w:ascii="Wingdings" w:hAnsi="Wingdings" w:hint="default"/>
      </w:rPr>
    </w:lvl>
    <w:lvl w:ilvl="8" w:tplc="82824E90" w:tentative="1">
      <w:start w:val="1"/>
      <w:numFmt w:val="bullet"/>
      <w:lvlText w:val=""/>
      <w:lvlJc w:val="left"/>
      <w:pPr>
        <w:tabs>
          <w:tab w:val="num" w:pos="6480"/>
        </w:tabs>
        <w:ind w:left="6480" w:hanging="360"/>
      </w:pPr>
      <w:rPr>
        <w:rFonts w:ascii="Wingdings" w:hAnsi="Wingdings" w:hint="default"/>
      </w:r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630107"/>
    <w:multiLevelType w:val="hybridMultilevel"/>
    <w:tmpl w:val="7BF6F18C"/>
    <w:lvl w:ilvl="0" w:tplc="04260017">
      <w:start w:val="1"/>
      <w:numFmt w:val="lowerLetter"/>
      <w:lvlText w:val="%1)"/>
      <w:lvlJc w:val="left"/>
      <w:pPr>
        <w:ind w:left="311" w:hanging="360"/>
      </w:pPr>
      <w:rPr>
        <w:rFonts w:cs="Times New Roman" w:hint="default"/>
        <w:sz w:val="24"/>
        <w:szCs w:val="24"/>
      </w:rPr>
    </w:lvl>
    <w:lvl w:ilvl="1" w:tplc="04260019" w:tentative="1">
      <w:start w:val="1"/>
      <w:numFmt w:val="lowerLetter"/>
      <w:lvlText w:val="%2."/>
      <w:lvlJc w:val="left"/>
      <w:pPr>
        <w:ind w:left="1031" w:hanging="360"/>
      </w:pPr>
      <w:rPr>
        <w:rFonts w:cs="Times New Roman"/>
      </w:rPr>
    </w:lvl>
    <w:lvl w:ilvl="2" w:tplc="0426001B" w:tentative="1">
      <w:start w:val="1"/>
      <w:numFmt w:val="lowerRoman"/>
      <w:lvlText w:val="%3."/>
      <w:lvlJc w:val="right"/>
      <w:pPr>
        <w:ind w:left="1751" w:hanging="180"/>
      </w:pPr>
      <w:rPr>
        <w:rFonts w:cs="Times New Roman"/>
      </w:rPr>
    </w:lvl>
    <w:lvl w:ilvl="3" w:tplc="0426000F" w:tentative="1">
      <w:start w:val="1"/>
      <w:numFmt w:val="decimal"/>
      <w:lvlText w:val="%4."/>
      <w:lvlJc w:val="left"/>
      <w:pPr>
        <w:ind w:left="2471" w:hanging="360"/>
      </w:pPr>
      <w:rPr>
        <w:rFonts w:cs="Times New Roman"/>
      </w:rPr>
    </w:lvl>
    <w:lvl w:ilvl="4" w:tplc="04260019" w:tentative="1">
      <w:start w:val="1"/>
      <w:numFmt w:val="lowerLetter"/>
      <w:lvlText w:val="%5."/>
      <w:lvlJc w:val="left"/>
      <w:pPr>
        <w:ind w:left="3191" w:hanging="360"/>
      </w:pPr>
      <w:rPr>
        <w:rFonts w:cs="Times New Roman"/>
      </w:rPr>
    </w:lvl>
    <w:lvl w:ilvl="5" w:tplc="0426001B" w:tentative="1">
      <w:start w:val="1"/>
      <w:numFmt w:val="lowerRoman"/>
      <w:lvlText w:val="%6."/>
      <w:lvlJc w:val="right"/>
      <w:pPr>
        <w:ind w:left="3911" w:hanging="180"/>
      </w:pPr>
      <w:rPr>
        <w:rFonts w:cs="Times New Roman"/>
      </w:rPr>
    </w:lvl>
    <w:lvl w:ilvl="6" w:tplc="0426000F" w:tentative="1">
      <w:start w:val="1"/>
      <w:numFmt w:val="decimal"/>
      <w:lvlText w:val="%7."/>
      <w:lvlJc w:val="left"/>
      <w:pPr>
        <w:ind w:left="4631" w:hanging="360"/>
      </w:pPr>
      <w:rPr>
        <w:rFonts w:cs="Times New Roman"/>
      </w:rPr>
    </w:lvl>
    <w:lvl w:ilvl="7" w:tplc="04260019" w:tentative="1">
      <w:start w:val="1"/>
      <w:numFmt w:val="lowerLetter"/>
      <w:lvlText w:val="%8."/>
      <w:lvlJc w:val="left"/>
      <w:pPr>
        <w:ind w:left="5351" w:hanging="360"/>
      </w:pPr>
      <w:rPr>
        <w:rFonts w:cs="Times New Roman"/>
      </w:rPr>
    </w:lvl>
    <w:lvl w:ilvl="8" w:tplc="0426001B" w:tentative="1">
      <w:start w:val="1"/>
      <w:numFmt w:val="lowerRoman"/>
      <w:lvlText w:val="%9."/>
      <w:lvlJc w:val="right"/>
      <w:pPr>
        <w:ind w:left="6071" w:hanging="180"/>
      </w:pPr>
      <w:rPr>
        <w:rFonts w:cs="Times New Roman"/>
      </w:rPr>
    </w:lvl>
  </w:abstractNum>
  <w:abstractNum w:abstractNumId="17">
    <w:nsid w:val="7BEE3A1D"/>
    <w:multiLevelType w:val="hybridMultilevel"/>
    <w:tmpl w:val="6DCCB5F8"/>
    <w:lvl w:ilvl="0" w:tplc="18D87E9A">
      <w:start w:val="7"/>
      <w:numFmt w:val="lowerLetter"/>
      <w:lvlText w:val="%1)"/>
      <w:lvlJc w:val="left"/>
      <w:pPr>
        <w:ind w:left="564" w:hanging="360"/>
      </w:pPr>
      <w:rPr>
        <w:rFonts w:eastAsia="Times New Roman" w:cs="Times New Roman" w:hint="default"/>
      </w:rPr>
    </w:lvl>
    <w:lvl w:ilvl="1" w:tplc="04260019" w:tentative="1">
      <w:start w:val="1"/>
      <w:numFmt w:val="lowerLetter"/>
      <w:lvlText w:val="%2."/>
      <w:lvlJc w:val="left"/>
      <w:pPr>
        <w:ind w:left="1284" w:hanging="360"/>
      </w:pPr>
      <w:rPr>
        <w:rFonts w:cs="Times New Roman"/>
      </w:rPr>
    </w:lvl>
    <w:lvl w:ilvl="2" w:tplc="0426001B" w:tentative="1">
      <w:start w:val="1"/>
      <w:numFmt w:val="lowerRoman"/>
      <w:lvlText w:val="%3."/>
      <w:lvlJc w:val="right"/>
      <w:pPr>
        <w:ind w:left="2004" w:hanging="180"/>
      </w:pPr>
      <w:rPr>
        <w:rFonts w:cs="Times New Roman"/>
      </w:rPr>
    </w:lvl>
    <w:lvl w:ilvl="3" w:tplc="0426000F" w:tentative="1">
      <w:start w:val="1"/>
      <w:numFmt w:val="decimal"/>
      <w:lvlText w:val="%4."/>
      <w:lvlJc w:val="left"/>
      <w:pPr>
        <w:ind w:left="2724" w:hanging="360"/>
      </w:pPr>
      <w:rPr>
        <w:rFonts w:cs="Times New Roman"/>
      </w:rPr>
    </w:lvl>
    <w:lvl w:ilvl="4" w:tplc="04260019" w:tentative="1">
      <w:start w:val="1"/>
      <w:numFmt w:val="lowerLetter"/>
      <w:lvlText w:val="%5."/>
      <w:lvlJc w:val="left"/>
      <w:pPr>
        <w:ind w:left="3444" w:hanging="360"/>
      </w:pPr>
      <w:rPr>
        <w:rFonts w:cs="Times New Roman"/>
      </w:rPr>
    </w:lvl>
    <w:lvl w:ilvl="5" w:tplc="0426001B" w:tentative="1">
      <w:start w:val="1"/>
      <w:numFmt w:val="lowerRoman"/>
      <w:lvlText w:val="%6."/>
      <w:lvlJc w:val="right"/>
      <w:pPr>
        <w:ind w:left="4164" w:hanging="180"/>
      </w:pPr>
      <w:rPr>
        <w:rFonts w:cs="Times New Roman"/>
      </w:rPr>
    </w:lvl>
    <w:lvl w:ilvl="6" w:tplc="0426000F" w:tentative="1">
      <w:start w:val="1"/>
      <w:numFmt w:val="decimal"/>
      <w:lvlText w:val="%7."/>
      <w:lvlJc w:val="left"/>
      <w:pPr>
        <w:ind w:left="4884" w:hanging="360"/>
      </w:pPr>
      <w:rPr>
        <w:rFonts w:cs="Times New Roman"/>
      </w:rPr>
    </w:lvl>
    <w:lvl w:ilvl="7" w:tplc="04260019" w:tentative="1">
      <w:start w:val="1"/>
      <w:numFmt w:val="lowerLetter"/>
      <w:lvlText w:val="%8."/>
      <w:lvlJc w:val="left"/>
      <w:pPr>
        <w:ind w:left="5604" w:hanging="360"/>
      </w:pPr>
      <w:rPr>
        <w:rFonts w:cs="Times New Roman"/>
      </w:rPr>
    </w:lvl>
    <w:lvl w:ilvl="8" w:tplc="0426001B" w:tentative="1">
      <w:start w:val="1"/>
      <w:numFmt w:val="lowerRoman"/>
      <w:lvlText w:val="%9."/>
      <w:lvlJc w:val="right"/>
      <w:pPr>
        <w:ind w:left="6324" w:hanging="180"/>
      </w:pPr>
      <w:rPr>
        <w:rFonts w:cs="Times New Roman"/>
      </w:rPr>
    </w:lvl>
  </w:abstractNum>
  <w:num w:numId="1">
    <w:abstractNumId w:val="1"/>
  </w:num>
  <w:num w:numId="2">
    <w:abstractNumId w:val="13"/>
  </w:num>
  <w:num w:numId="3">
    <w:abstractNumId w:val="15"/>
  </w:num>
  <w:num w:numId="4">
    <w:abstractNumId w:val="11"/>
  </w:num>
  <w:num w:numId="5">
    <w:abstractNumId w:val="7"/>
  </w:num>
  <w:num w:numId="6">
    <w:abstractNumId w:val="5"/>
  </w:num>
  <w:num w:numId="7">
    <w:abstractNumId w:val="9"/>
  </w:num>
  <w:num w:numId="8">
    <w:abstractNumId w:val="8"/>
  </w:num>
  <w:num w:numId="9">
    <w:abstractNumId w:val="12"/>
  </w:num>
  <w:num w:numId="10">
    <w:abstractNumId w:val="16"/>
  </w:num>
  <w:num w:numId="11">
    <w:abstractNumId w:val="17"/>
  </w:num>
  <w:num w:numId="12">
    <w:abstractNumId w:val="10"/>
  </w:num>
  <w:num w:numId="13">
    <w:abstractNumId w:val="2"/>
  </w:num>
  <w:num w:numId="14">
    <w:abstractNumId w:val="0"/>
  </w:num>
  <w:num w:numId="15">
    <w:abstractNumId w:val="6"/>
  </w:num>
  <w:num w:numId="16">
    <w:abstractNumId w:val="14"/>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71FE"/>
    <w:rsid w:val="00002814"/>
    <w:rsid w:val="000229C0"/>
    <w:rsid w:val="00057C8E"/>
    <w:rsid w:val="000840B2"/>
    <w:rsid w:val="0008580B"/>
    <w:rsid w:val="000A2543"/>
    <w:rsid w:val="000B32DC"/>
    <w:rsid w:val="000B68F3"/>
    <w:rsid w:val="000C402D"/>
    <w:rsid w:val="000C7349"/>
    <w:rsid w:val="000D0E50"/>
    <w:rsid w:val="000D37E8"/>
    <w:rsid w:val="000D4A33"/>
    <w:rsid w:val="000D6FFB"/>
    <w:rsid w:val="000F22BF"/>
    <w:rsid w:val="000F4F8B"/>
    <w:rsid w:val="00100A03"/>
    <w:rsid w:val="0010608B"/>
    <w:rsid w:val="001075CE"/>
    <w:rsid w:val="00123BAC"/>
    <w:rsid w:val="0013692E"/>
    <w:rsid w:val="00137C0E"/>
    <w:rsid w:val="00150BC4"/>
    <w:rsid w:val="001536CC"/>
    <w:rsid w:val="00160354"/>
    <w:rsid w:val="00180982"/>
    <w:rsid w:val="00194D09"/>
    <w:rsid w:val="001A069C"/>
    <w:rsid w:val="001A17A1"/>
    <w:rsid w:val="001B7FB2"/>
    <w:rsid w:val="001E3486"/>
    <w:rsid w:val="001F3E0A"/>
    <w:rsid w:val="002043CE"/>
    <w:rsid w:val="00212135"/>
    <w:rsid w:val="002128CD"/>
    <w:rsid w:val="002154CE"/>
    <w:rsid w:val="00215D13"/>
    <w:rsid w:val="00221D60"/>
    <w:rsid w:val="00252DB3"/>
    <w:rsid w:val="002536EE"/>
    <w:rsid w:val="00262F72"/>
    <w:rsid w:val="00277F86"/>
    <w:rsid w:val="002B7AC2"/>
    <w:rsid w:val="002C0406"/>
    <w:rsid w:val="002C1F32"/>
    <w:rsid w:val="002C6528"/>
    <w:rsid w:val="002C71D8"/>
    <w:rsid w:val="002D0339"/>
    <w:rsid w:val="002D1DAB"/>
    <w:rsid w:val="002D2B25"/>
    <w:rsid w:val="002D4EAB"/>
    <w:rsid w:val="002D5779"/>
    <w:rsid w:val="0031597F"/>
    <w:rsid w:val="0031664F"/>
    <w:rsid w:val="003201B5"/>
    <w:rsid w:val="003209D4"/>
    <w:rsid w:val="00323D47"/>
    <w:rsid w:val="0033118C"/>
    <w:rsid w:val="00334E0B"/>
    <w:rsid w:val="00343A70"/>
    <w:rsid w:val="00345472"/>
    <w:rsid w:val="00345E88"/>
    <w:rsid w:val="00350BDD"/>
    <w:rsid w:val="003553E6"/>
    <w:rsid w:val="003626B0"/>
    <w:rsid w:val="0036524D"/>
    <w:rsid w:val="00376F9F"/>
    <w:rsid w:val="0038316B"/>
    <w:rsid w:val="003B3E47"/>
    <w:rsid w:val="003D75EF"/>
    <w:rsid w:val="003F1BC5"/>
    <w:rsid w:val="003F7F2F"/>
    <w:rsid w:val="00413059"/>
    <w:rsid w:val="00421E0C"/>
    <w:rsid w:val="004227EB"/>
    <w:rsid w:val="00423D88"/>
    <w:rsid w:val="00425150"/>
    <w:rsid w:val="00440A80"/>
    <w:rsid w:val="00462649"/>
    <w:rsid w:val="00471BEF"/>
    <w:rsid w:val="00476218"/>
    <w:rsid w:val="00482E58"/>
    <w:rsid w:val="004B2E20"/>
    <w:rsid w:val="004B3E3A"/>
    <w:rsid w:val="004B611D"/>
    <w:rsid w:val="004C0B74"/>
    <w:rsid w:val="004D1D2C"/>
    <w:rsid w:val="004D6434"/>
    <w:rsid w:val="004D7BE3"/>
    <w:rsid w:val="004E2B4F"/>
    <w:rsid w:val="004F3D92"/>
    <w:rsid w:val="00555A45"/>
    <w:rsid w:val="00572B49"/>
    <w:rsid w:val="00586745"/>
    <w:rsid w:val="005972D0"/>
    <w:rsid w:val="005A4CBD"/>
    <w:rsid w:val="005B2E54"/>
    <w:rsid w:val="005B6561"/>
    <w:rsid w:val="005D23E6"/>
    <w:rsid w:val="005D317E"/>
    <w:rsid w:val="005E0165"/>
    <w:rsid w:val="005F6633"/>
    <w:rsid w:val="00613BE7"/>
    <w:rsid w:val="006218C3"/>
    <w:rsid w:val="006279C4"/>
    <w:rsid w:val="00637225"/>
    <w:rsid w:val="0064317E"/>
    <w:rsid w:val="0067450B"/>
    <w:rsid w:val="00681FE9"/>
    <w:rsid w:val="006822AC"/>
    <w:rsid w:val="006862EB"/>
    <w:rsid w:val="0069078F"/>
    <w:rsid w:val="006A465B"/>
    <w:rsid w:val="006A5796"/>
    <w:rsid w:val="006B24DF"/>
    <w:rsid w:val="006B586F"/>
    <w:rsid w:val="006C6E32"/>
    <w:rsid w:val="006D5C18"/>
    <w:rsid w:val="006F7426"/>
    <w:rsid w:val="007030A4"/>
    <w:rsid w:val="00713E5F"/>
    <w:rsid w:val="00716FAE"/>
    <w:rsid w:val="00722E79"/>
    <w:rsid w:val="00754A3E"/>
    <w:rsid w:val="00776681"/>
    <w:rsid w:val="007775E7"/>
    <w:rsid w:val="007907D7"/>
    <w:rsid w:val="0079377D"/>
    <w:rsid w:val="00796345"/>
    <w:rsid w:val="007A5A8E"/>
    <w:rsid w:val="007B2A90"/>
    <w:rsid w:val="007B7D05"/>
    <w:rsid w:val="007D0F71"/>
    <w:rsid w:val="007D5CCC"/>
    <w:rsid w:val="007E5054"/>
    <w:rsid w:val="007F7D91"/>
    <w:rsid w:val="00813DE9"/>
    <w:rsid w:val="008279E5"/>
    <w:rsid w:val="0083453C"/>
    <w:rsid w:val="0084187C"/>
    <w:rsid w:val="008427DF"/>
    <w:rsid w:val="00845502"/>
    <w:rsid w:val="0085007B"/>
    <w:rsid w:val="00861CF4"/>
    <w:rsid w:val="008814B2"/>
    <w:rsid w:val="00890432"/>
    <w:rsid w:val="008A1662"/>
    <w:rsid w:val="008C01AB"/>
    <w:rsid w:val="008D1B2D"/>
    <w:rsid w:val="008E1EE4"/>
    <w:rsid w:val="00902B9B"/>
    <w:rsid w:val="00911B3F"/>
    <w:rsid w:val="00924A86"/>
    <w:rsid w:val="0092615B"/>
    <w:rsid w:val="00946E80"/>
    <w:rsid w:val="00952A80"/>
    <w:rsid w:val="00963525"/>
    <w:rsid w:val="0097160B"/>
    <w:rsid w:val="009757C6"/>
    <w:rsid w:val="009759E7"/>
    <w:rsid w:val="009847DB"/>
    <w:rsid w:val="009A0E3E"/>
    <w:rsid w:val="009A2A1C"/>
    <w:rsid w:val="009A618B"/>
    <w:rsid w:val="009B2491"/>
    <w:rsid w:val="009B5B30"/>
    <w:rsid w:val="009C0B5A"/>
    <w:rsid w:val="009C792E"/>
    <w:rsid w:val="009C7C06"/>
    <w:rsid w:val="009E6A06"/>
    <w:rsid w:val="009F6390"/>
    <w:rsid w:val="00A16A3A"/>
    <w:rsid w:val="00A457C0"/>
    <w:rsid w:val="00A45B0A"/>
    <w:rsid w:val="00A471BC"/>
    <w:rsid w:val="00A516D7"/>
    <w:rsid w:val="00A539C5"/>
    <w:rsid w:val="00A608D7"/>
    <w:rsid w:val="00A6311A"/>
    <w:rsid w:val="00A70CE8"/>
    <w:rsid w:val="00A72D6C"/>
    <w:rsid w:val="00AB03F5"/>
    <w:rsid w:val="00AB3051"/>
    <w:rsid w:val="00AC70D9"/>
    <w:rsid w:val="00AD64C0"/>
    <w:rsid w:val="00AE1E8A"/>
    <w:rsid w:val="00AE68E0"/>
    <w:rsid w:val="00B019B7"/>
    <w:rsid w:val="00B1479E"/>
    <w:rsid w:val="00B14C3A"/>
    <w:rsid w:val="00B1513B"/>
    <w:rsid w:val="00B24990"/>
    <w:rsid w:val="00B3442F"/>
    <w:rsid w:val="00B477C2"/>
    <w:rsid w:val="00B81BBC"/>
    <w:rsid w:val="00B9736D"/>
    <w:rsid w:val="00BA1EBD"/>
    <w:rsid w:val="00BB4352"/>
    <w:rsid w:val="00BE7B9A"/>
    <w:rsid w:val="00BF6E4D"/>
    <w:rsid w:val="00C275B9"/>
    <w:rsid w:val="00C27A58"/>
    <w:rsid w:val="00C51688"/>
    <w:rsid w:val="00C6367A"/>
    <w:rsid w:val="00C7773B"/>
    <w:rsid w:val="00C90247"/>
    <w:rsid w:val="00CA226C"/>
    <w:rsid w:val="00CA627D"/>
    <w:rsid w:val="00CA63A2"/>
    <w:rsid w:val="00CB63C4"/>
    <w:rsid w:val="00CC6BE3"/>
    <w:rsid w:val="00CE5436"/>
    <w:rsid w:val="00D02FE8"/>
    <w:rsid w:val="00D03C3B"/>
    <w:rsid w:val="00D07EE9"/>
    <w:rsid w:val="00D22949"/>
    <w:rsid w:val="00D3163A"/>
    <w:rsid w:val="00D34686"/>
    <w:rsid w:val="00D36FDE"/>
    <w:rsid w:val="00D379F2"/>
    <w:rsid w:val="00D444EA"/>
    <w:rsid w:val="00D746C1"/>
    <w:rsid w:val="00D810A5"/>
    <w:rsid w:val="00D840B3"/>
    <w:rsid w:val="00DA1F72"/>
    <w:rsid w:val="00DC29F6"/>
    <w:rsid w:val="00DC3636"/>
    <w:rsid w:val="00E002C3"/>
    <w:rsid w:val="00E17E66"/>
    <w:rsid w:val="00E24687"/>
    <w:rsid w:val="00E276E3"/>
    <w:rsid w:val="00E36390"/>
    <w:rsid w:val="00E571FE"/>
    <w:rsid w:val="00E64A18"/>
    <w:rsid w:val="00E65A14"/>
    <w:rsid w:val="00E91F24"/>
    <w:rsid w:val="00EA597E"/>
    <w:rsid w:val="00EC04CE"/>
    <w:rsid w:val="00ED2CBC"/>
    <w:rsid w:val="00EF524B"/>
    <w:rsid w:val="00EF6D54"/>
    <w:rsid w:val="00F10797"/>
    <w:rsid w:val="00F24D04"/>
    <w:rsid w:val="00F3236B"/>
    <w:rsid w:val="00F33218"/>
    <w:rsid w:val="00F46939"/>
    <w:rsid w:val="00F475F0"/>
    <w:rsid w:val="00F57427"/>
    <w:rsid w:val="00F72FD1"/>
    <w:rsid w:val="00F770BA"/>
    <w:rsid w:val="00FA4152"/>
    <w:rsid w:val="00FC0827"/>
    <w:rsid w:val="00FC61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Heading 1 Char"/>
    <w:basedOn w:val="DefaultParagraphFont"/>
    <w:link w:val="Heading1"/>
    <w:uiPriority w:val="9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99"/>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A60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Virsraksts1Rakstz"/>
    <w:uiPriority w:val="99"/>
    <w:qFormat/>
    <w:rsid w:val="00E571FE"/>
    <w:pPr>
      <w:keepNext/>
      <w:jc w:val="center"/>
      <w:outlineLvl w:val="0"/>
    </w:pPr>
    <w:rPr>
      <w:b/>
      <w:bCs/>
      <w:sz w:val="28"/>
    </w:rPr>
  </w:style>
  <w:style w:type="paragraph" w:styleId="Heading2">
    <w:name w:val="heading 2"/>
    <w:basedOn w:val="Normal"/>
    <w:next w:val="Normal"/>
    <w:link w:val="Virsraksts2Rakstz"/>
    <w:uiPriority w:val="99"/>
    <w:qFormat/>
    <w:rsid w:val="00E571FE"/>
    <w:pPr>
      <w:keepNext/>
      <w:outlineLvl w:val="1"/>
    </w:pPr>
    <w:rPr>
      <w:sz w:val="28"/>
    </w:rPr>
  </w:style>
  <w:style w:type="paragraph" w:styleId="Heading3">
    <w:name w:val="heading 3"/>
    <w:basedOn w:val="Normal"/>
    <w:next w:val="Normal"/>
    <w:link w:val="Virsraksts3Rakstz"/>
    <w:uiPriority w:val="99"/>
    <w:qFormat/>
    <w:rsid w:val="00E571FE"/>
    <w:pPr>
      <w:keepNext/>
      <w:jc w:val="center"/>
      <w:outlineLvl w:val="2"/>
    </w:pPr>
    <w:rPr>
      <w:sz w:val="28"/>
    </w:rPr>
  </w:style>
  <w:style w:type="paragraph" w:styleId="Heading4">
    <w:name w:val="heading 4"/>
    <w:basedOn w:val="Normal"/>
    <w:next w:val="Normal"/>
    <w:link w:val="Virsraksts4Rakstz"/>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Virsraksts5Rakstz"/>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Virsraksts1Rakstz">
    <w:name w:val="Virsraksts 1 Rakstz."/>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Virsraksts2Rakstz">
    <w:name w:val="Virsraksts 2 Rakstz."/>
    <w:basedOn w:val="DefaultParagraphFont"/>
    <w:link w:val="Heading2"/>
    <w:uiPriority w:val="99"/>
    <w:rsid w:val="00E571FE"/>
    <w:rPr>
      <w:rFonts w:ascii="Times New Roman" w:eastAsia="Times New Roman" w:hAnsi="Times New Roman" w:cs="Times New Roman"/>
      <w:sz w:val="28"/>
      <w:szCs w:val="24"/>
    </w:rPr>
  </w:style>
  <w:style w:type="character" w:customStyle="1" w:styleId="Virsraksts3Rakstz">
    <w:name w:val="Virsraksts 3 Rakstz."/>
    <w:basedOn w:val="DefaultParagraphFont"/>
    <w:link w:val="Heading3"/>
    <w:uiPriority w:val="99"/>
    <w:rsid w:val="00E571FE"/>
    <w:rPr>
      <w:rFonts w:ascii="Times New Roman" w:eastAsia="Times New Roman" w:hAnsi="Times New Roman" w:cs="Times New Roman"/>
      <w:sz w:val="28"/>
      <w:szCs w:val="24"/>
    </w:rPr>
  </w:style>
  <w:style w:type="character" w:customStyle="1" w:styleId="Virsraksts4Rakstz">
    <w:name w:val="Virsraksts 4 Rakstz."/>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PamattekstsaratkpiRakstz"/>
    <w:uiPriority w:val="99"/>
    <w:rsid w:val="00E571FE"/>
    <w:pPr>
      <w:ind w:left="7"/>
    </w:pPr>
    <w:rPr>
      <w:sz w:val="28"/>
    </w:rPr>
  </w:style>
  <w:style w:type="character" w:customStyle="1" w:styleId="PamattekstsaratkpiRakstz">
    <w:name w:val="Pamatteksts ar atkāpi Rakstz."/>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KjeneRakstz"/>
    <w:uiPriority w:val="99"/>
    <w:rsid w:val="00E571FE"/>
    <w:pPr>
      <w:tabs>
        <w:tab w:val="center" w:pos="4153"/>
        <w:tab w:val="right" w:pos="8306"/>
      </w:tabs>
      <w:snapToGrid w:val="0"/>
    </w:pPr>
    <w:rPr>
      <w:rFonts w:ascii="RimTimes" w:hAnsi="RimTimes"/>
      <w:sz w:val="28"/>
      <w:szCs w:val="20"/>
    </w:rPr>
  </w:style>
  <w:style w:type="character" w:customStyle="1" w:styleId="KjeneRakstz">
    <w:name w:val="Kājene Rakstz."/>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GalveneRakstz"/>
    <w:uiPriority w:val="99"/>
    <w:rsid w:val="00E571FE"/>
    <w:pPr>
      <w:tabs>
        <w:tab w:val="center" w:pos="4153"/>
        <w:tab w:val="right" w:pos="8306"/>
      </w:tabs>
    </w:pPr>
  </w:style>
  <w:style w:type="character" w:customStyle="1" w:styleId="GalveneRakstz">
    <w:name w:val="Galvene Rakstz."/>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KomentratekstsRakstz"/>
    <w:uiPriority w:val="99"/>
    <w:rsid w:val="00E571FE"/>
    <w:rPr>
      <w:sz w:val="20"/>
      <w:szCs w:val="20"/>
    </w:rPr>
  </w:style>
  <w:style w:type="character" w:customStyle="1" w:styleId="KomentratekstsRakstz">
    <w:name w:val="Komentāra teksts Rakstz."/>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ontekstsRakstz"/>
    <w:uiPriority w:val="99"/>
    <w:semiHidden/>
    <w:rsid w:val="00E571FE"/>
    <w:rPr>
      <w:rFonts w:ascii="Tahoma" w:hAnsi="Tahoma"/>
      <w:sz w:val="16"/>
      <w:szCs w:val="16"/>
    </w:rPr>
  </w:style>
  <w:style w:type="character" w:customStyle="1" w:styleId="BalontekstsRakstz">
    <w:name w:val="Balonteksts Rakstz."/>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Pamatteksts2Rakstz"/>
    <w:uiPriority w:val="99"/>
    <w:rsid w:val="00E571FE"/>
    <w:pPr>
      <w:spacing w:after="120" w:line="480" w:lineRule="auto"/>
    </w:pPr>
    <w:rPr>
      <w:sz w:val="28"/>
      <w:szCs w:val="20"/>
      <w:lang w:eastAsia="lv-LV"/>
    </w:rPr>
  </w:style>
  <w:style w:type="character" w:customStyle="1" w:styleId="Pamatteksts2Rakstz">
    <w:name w:val="Pamatteksts 2 Rakstz."/>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KomentratmaRakstz"/>
    <w:uiPriority w:val="99"/>
    <w:semiHidden/>
    <w:rsid w:val="00E571FE"/>
    <w:rPr>
      <w:b/>
      <w:bCs/>
    </w:rPr>
  </w:style>
  <w:style w:type="character" w:customStyle="1" w:styleId="KomentratmaRakstz">
    <w:name w:val="Komentāra tēma Rakstz."/>
    <w:basedOn w:val="KomentratekstsRakstz"/>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NosaukumsRakstz"/>
    <w:uiPriority w:val="99"/>
    <w:qFormat/>
    <w:rsid w:val="00E571FE"/>
    <w:pPr>
      <w:jc w:val="center"/>
    </w:pPr>
    <w:rPr>
      <w:b/>
      <w:sz w:val="28"/>
      <w:szCs w:val="20"/>
    </w:rPr>
  </w:style>
  <w:style w:type="character" w:customStyle="1" w:styleId="NosaukumsRakstz">
    <w:name w:val="Nosaukums Rakstz."/>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99"/>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Pamattekstaatkpe2Rakstz"/>
    <w:uiPriority w:val="99"/>
    <w:rsid w:val="00E571FE"/>
    <w:pPr>
      <w:spacing w:after="120" w:line="480" w:lineRule="auto"/>
      <w:ind w:left="283"/>
    </w:pPr>
  </w:style>
  <w:style w:type="character" w:customStyle="1" w:styleId="Pamattekstaatkpe2Rakstz">
    <w:name w:val="Pamatteksta atkāpe 2 Rakstz."/>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VrestekstsRakstz"/>
    <w:unhideWhenUsed/>
    <w:rsid w:val="008A1662"/>
    <w:rPr>
      <w:rFonts w:ascii="Calibri" w:eastAsia="Calibri" w:hAnsi="Calibri"/>
      <w:sz w:val="20"/>
      <w:szCs w:val="20"/>
    </w:rPr>
  </w:style>
  <w:style w:type="character" w:customStyle="1" w:styleId="VrestekstsRakstz">
    <w:name w:val="Vēres teksts Rakstz."/>
    <w:aliases w:val="Footnote Rakstz.,Fußnote Rakstz.,single space Rakstz.,ft Rakstz. Rakstz. Rakstz.,ft Rakstz. Rakstz.1,ft Rakstz.1,-E Fußnotentext Rakstz.,footnote text Rakstz.,Fußnotentext Ursprung Rakstz.,Footnote Text qer Rakstz."/>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irsraksts5Rakstz">
    <w:name w:val="Virsraksts 5 Rakstz."/>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r="http://schemas.openxmlformats.org/officeDocument/2006/relationships" xmlns:w="http://schemas.openxmlformats.org/wordprocessingml/2006/main">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50391">
      <w:bodyDiv w:val="1"/>
      <w:marLeft w:val="0"/>
      <w:marRight w:val="0"/>
      <w:marTop w:val="0"/>
      <w:marBottom w:val="0"/>
      <w:divBdr>
        <w:top w:val="none" w:sz="0" w:space="0" w:color="auto"/>
        <w:left w:val="none" w:sz="0" w:space="0" w:color="auto"/>
        <w:bottom w:val="none" w:sz="0" w:space="0" w:color="auto"/>
        <w:right w:val="none" w:sz="0" w:space="0" w:color="auto"/>
      </w:divBdr>
      <w:divsChild>
        <w:div w:id="765150157">
          <w:marLeft w:val="0"/>
          <w:marRight w:val="0"/>
          <w:marTop w:val="0"/>
          <w:marBottom w:val="0"/>
          <w:divBdr>
            <w:top w:val="none" w:sz="0" w:space="0" w:color="auto"/>
            <w:left w:val="none" w:sz="0" w:space="0" w:color="auto"/>
            <w:bottom w:val="none" w:sz="0" w:space="0" w:color="auto"/>
            <w:right w:val="none" w:sz="0" w:space="0" w:color="auto"/>
          </w:divBdr>
          <w:divsChild>
            <w:div w:id="148399382">
              <w:marLeft w:val="0"/>
              <w:marRight w:val="0"/>
              <w:marTop w:val="0"/>
              <w:marBottom w:val="0"/>
              <w:divBdr>
                <w:top w:val="none" w:sz="0" w:space="0" w:color="auto"/>
                <w:left w:val="none" w:sz="0" w:space="0" w:color="auto"/>
                <w:bottom w:val="none" w:sz="0" w:space="0" w:color="auto"/>
                <w:right w:val="none" w:sz="0" w:space="0" w:color="auto"/>
              </w:divBdr>
              <w:divsChild>
                <w:div w:id="938756501">
                  <w:marLeft w:val="0"/>
                  <w:marRight w:val="0"/>
                  <w:marTop w:val="0"/>
                  <w:marBottom w:val="0"/>
                  <w:divBdr>
                    <w:top w:val="none" w:sz="0" w:space="0" w:color="auto"/>
                    <w:left w:val="none" w:sz="0" w:space="0" w:color="auto"/>
                    <w:bottom w:val="none" w:sz="0" w:space="0" w:color="auto"/>
                    <w:right w:val="none" w:sz="0" w:space="0" w:color="auto"/>
                  </w:divBdr>
                  <w:divsChild>
                    <w:div w:id="1821994133">
                      <w:marLeft w:val="0"/>
                      <w:marRight w:val="0"/>
                      <w:marTop w:val="0"/>
                      <w:marBottom w:val="0"/>
                      <w:divBdr>
                        <w:top w:val="none" w:sz="0" w:space="0" w:color="auto"/>
                        <w:left w:val="none" w:sz="0" w:space="0" w:color="auto"/>
                        <w:bottom w:val="none" w:sz="0" w:space="0" w:color="auto"/>
                        <w:right w:val="none" w:sz="0" w:space="0" w:color="auto"/>
                      </w:divBdr>
                      <w:divsChild>
                        <w:div w:id="503515828">
                          <w:marLeft w:val="0"/>
                          <w:marRight w:val="0"/>
                          <w:marTop w:val="0"/>
                          <w:marBottom w:val="0"/>
                          <w:divBdr>
                            <w:top w:val="none" w:sz="0" w:space="0" w:color="auto"/>
                            <w:left w:val="none" w:sz="0" w:space="0" w:color="auto"/>
                            <w:bottom w:val="none" w:sz="0" w:space="0" w:color="auto"/>
                            <w:right w:val="none" w:sz="0" w:space="0" w:color="auto"/>
                          </w:divBdr>
                          <w:divsChild>
                            <w:div w:id="1159341805">
                              <w:marLeft w:val="0"/>
                              <w:marRight w:val="0"/>
                              <w:marTop w:val="480"/>
                              <w:marBottom w:val="240"/>
                              <w:divBdr>
                                <w:top w:val="none" w:sz="0" w:space="0" w:color="auto"/>
                                <w:left w:val="none" w:sz="0" w:space="0" w:color="auto"/>
                                <w:bottom w:val="none" w:sz="0" w:space="0" w:color="auto"/>
                                <w:right w:val="none" w:sz="0" w:space="0" w:color="auto"/>
                              </w:divBdr>
                            </w:div>
                            <w:div w:id="16456195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etudes/join/2008/408584/IPOL-JOIN_ET(2008)408584_EN.pdf" TargetMode="External"/><Relationship Id="rId3" Type="http://schemas.openxmlformats.org/officeDocument/2006/relationships/hyperlink" Target="http://www.foedevarestyrelsen.dk/english/Food/Trans%20fatty%20acids/Pages/default.aspx" TargetMode="External"/><Relationship Id="rId7" Type="http://schemas.openxmlformats.org/officeDocument/2006/relationships/hyperlink" Target="http://www.europarl.europa.eu/RegData/etudes/etudes/join/2008/408584/IPOL-JOIN_ET(2008)408584_EN.pdf" TargetMode="External"/><Relationship Id="rId2" Type="http://schemas.openxmlformats.org/officeDocument/2006/relationships/hyperlink" Target="http://eur-lex.europa.eu/legal-content/LV/TXT/?uri=celex:32011R1169" TargetMode="External"/><Relationship Id="rId1" Type="http://schemas.openxmlformats.org/officeDocument/2006/relationships/hyperlink" Target="http://www.europarl.europa.eu/RegData/etudes/etudes/join/2008/408584/IPOL-JOIN_ET(2008)408584_EN.pdf" TargetMode="External"/><Relationship Id="rId6" Type="http://schemas.openxmlformats.org/officeDocument/2006/relationships/hyperlink" Target="http://www.eurofoodlaw.com/country-reports/iceland-to-restrict-trans-fats" TargetMode="External"/><Relationship Id="rId11" Type="http://schemas.openxmlformats.org/officeDocument/2006/relationships/hyperlink" Target="http://www.euro.who.int/__data/assets/pdf_file/0008/96632/E93736.pdf" TargetMode="External"/><Relationship Id="rId5" Type="http://schemas.openxmlformats.org/officeDocument/2006/relationships/hyperlink" Target="http://www.europarl.europa.eu/RegData/etudes/etudes/join/2008/408584/IPOLJOIN_ET%282008%29408584_EN.pdf" TargetMode="External"/><Relationship Id="rId10" Type="http://schemas.openxmlformats.org/officeDocument/2006/relationships/hyperlink" Target="http://www.nejm.org/toc/nejm/340/25/" TargetMode="External"/><Relationship Id="rId4" Type="http://schemas.openxmlformats.org/officeDocument/2006/relationships/hyperlink" Target="http://www.ris.bka.gv.at/GeltendeFassung.wxe?Abfrage=Bundesnormen&amp;Gesetzesnummer=20006420" TargetMode="External"/><Relationship Id="rId9" Type="http://schemas.openxmlformats.org/officeDocument/2006/relationships/hyperlink" Target="http://www.europarl.europa.eu/RegData/etudes/etudes/join/2008/408584/IPOL-JOIN_ET(2008)40858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1258B-29CF-4A97-866B-CA262DDA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20455</Words>
  <Characters>11660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Ministru kabineta noteikumu projekta  „Noteikumi par maksimāli pieļaujamo trans-taukskābju daudzumu pārtikas produktos” sākotnējās ietekmes novērtējuma ziņojums</vt:lpstr>
    </vt:vector>
  </TitlesOfParts>
  <Company>Veselības ministrija</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maksimāli pieļaujamo trans-taukskābju daudzumu pārtikas produktos” sākotnējās ietekmes novērtējuma ziņojums</dc:title>
  <dc:subject>Anotācija</dc:subject>
  <dc:creator>SLazdina</dc:creator>
  <dc:description>S.Lazdiņa,
sanita.lazdina@vm.gov.lv
67876074</dc:description>
  <cp:lastModifiedBy>skuklica</cp:lastModifiedBy>
  <cp:revision>32</cp:revision>
  <cp:lastPrinted>2015-04-01T10:19:00Z</cp:lastPrinted>
  <dcterms:created xsi:type="dcterms:W3CDTF">2015-06-02T08:23:00Z</dcterms:created>
  <dcterms:modified xsi:type="dcterms:W3CDTF">2015-06-30T11:18:00Z</dcterms:modified>
</cp:coreProperties>
</file>